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242"/>
      </w:tblGrid>
      <w:tr w:rsidR="00FD4C02" w:rsidRPr="00467C54" w:rsidTr="00A13957">
        <w:trPr>
          <w:trHeight w:val="1276"/>
        </w:trPr>
        <w:tc>
          <w:tcPr>
            <w:tcW w:w="5000" w:type="pct"/>
          </w:tcPr>
          <w:bookmarkStart w:id="0" w:name="_GoBack"/>
          <w:bookmarkEnd w:id="0"/>
          <w:p w:rsidR="00FD4C02" w:rsidRPr="00467C54" w:rsidRDefault="00D367E2" w:rsidP="00A13957">
            <w:pPr>
              <w:jc w:val="center"/>
              <w:rPr>
                <w:rFonts w:asciiTheme="majorHAnsi" w:eastAsiaTheme="majorEastAsia" w:hAnsiTheme="majorHAnsi" w:cstheme="majorBidi"/>
                <w:caps/>
              </w:rPr>
            </w:pPr>
            <w:sdt>
              <w:sdtPr>
                <w:rPr>
                  <w:rFonts w:asciiTheme="majorHAnsi" w:eastAsiaTheme="majorEastAsia" w:hAnsiTheme="majorHAnsi" w:cstheme="majorBidi"/>
                  <w:caps/>
                </w:rPr>
                <w:alias w:val="Company"/>
                <w:id w:val="15524243"/>
                <w:placeholder>
                  <w:docPart w:val="5C821271B2E944D390C6FFF13DABC805"/>
                </w:placeholder>
                <w:dataBinding w:prefixMappings="xmlns:ns0='http://schemas.openxmlformats.org/officeDocument/2006/extended-properties'" w:xpath="/ns0:Properties[1]/ns0:Company[1]" w:storeItemID="{6668398D-A668-4E3E-A5EB-62B293D839F1}"/>
                <w:text/>
              </w:sdtPr>
              <w:sdtEndPr/>
              <w:sdtContent>
                <w:r w:rsidR="00066B3F" w:rsidRPr="00467C54">
                  <w:rPr>
                    <w:rFonts w:asciiTheme="majorHAnsi" w:eastAsiaTheme="majorEastAsia" w:hAnsiTheme="majorHAnsi" w:cstheme="majorBidi"/>
                    <w:caps/>
                  </w:rPr>
                  <w:t>University of the West of Scotland</w:t>
                </w:r>
              </w:sdtContent>
            </w:sdt>
          </w:p>
        </w:tc>
      </w:tr>
      <w:tr w:rsidR="00FD4C02" w:rsidRPr="00467C54" w:rsidTr="00A13957">
        <w:trPr>
          <w:trHeight w:val="1440"/>
        </w:trPr>
        <w:sdt>
          <w:sdtPr>
            <w:rPr>
              <w:rFonts w:asciiTheme="majorHAnsi" w:eastAsiaTheme="majorEastAsia" w:hAnsiTheme="majorHAnsi" w:cstheme="minorHAnsi"/>
              <w:sz w:val="80"/>
              <w:szCs w:val="80"/>
            </w:rPr>
            <w:alias w:val="Title"/>
            <w:id w:val="15524250"/>
            <w:placeholder>
              <w:docPart w:val="750B4311170C4CF2B88B887539892FEF"/>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D4C02" w:rsidRPr="00467C54" w:rsidRDefault="00066B3F" w:rsidP="00A13957">
                <w:pPr>
                  <w:jc w:val="center"/>
                  <w:rPr>
                    <w:rFonts w:asciiTheme="majorHAnsi" w:eastAsiaTheme="majorEastAsia" w:hAnsiTheme="majorHAnsi" w:cstheme="minorHAnsi"/>
                    <w:sz w:val="80"/>
                    <w:szCs w:val="80"/>
                  </w:rPr>
                </w:pPr>
                <w:r w:rsidRPr="00467C54">
                  <w:rPr>
                    <w:rFonts w:asciiTheme="majorHAnsi" w:eastAsiaTheme="majorEastAsia" w:hAnsiTheme="majorHAnsi" w:cstheme="minorHAnsi"/>
                    <w:sz w:val="80"/>
                    <w:szCs w:val="80"/>
                  </w:rPr>
                  <w:t>Validatio</w:t>
                </w:r>
                <w:r w:rsidR="00591EC7" w:rsidRPr="00467C54">
                  <w:rPr>
                    <w:rFonts w:asciiTheme="majorHAnsi" w:eastAsiaTheme="majorEastAsia" w:hAnsiTheme="majorHAnsi" w:cstheme="minorHAnsi"/>
                    <w:sz w:val="80"/>
                    <w:szCs w:val="80"/>
                  </w:rPr>
                  <w:t>n of the NHS Scotland Employee</w:t>
                </w:r>
                <w:r w:rsidRPr="00467C54">
                  <w:rPr>
                    <w:rFonts w:asciiTheme="majorHAnsi" w:eastAsiaTheme="majorEastAsia" w:hAnsiTheme="majorHAnsi" w:cstheme="minorHAnsi"/>
                    <w:sz w:val="80"/>
                    <w:szCs w:val="80"/>
                  </w:rPr>
                  <w:t xml:space="preserve"> Engagement Index</w:t>
                </w:r>
              </w:p>
            </w:tc>
          </w:sdtContent>
        </w:sdt>
      </w:tr>
      <w:tr w:rsidR="00FD4C02" w:rsidRPr="00467C54" w:rsidTr="00A13957">
        <w:trPr>
          <w:trHeight w:val="720"/>
        </w:trPr>
        <w:sdt>
          <w:sdtPr>
            <w:rPr>
              <w:rFonts w:asciiTheme="majorHAnsi" w:eastAsiaTheme="majorEastAsia" w:hAnsiTheme="majorHAnsi" w:cstheme="minorHAnsi"/>
              <w:sz w:val="44"/>
              <w:szCs w:val="44"/>
            </w:rPr>
            <w:alias w:val="Subtitle"/>
            <w:id w:val="15524255"/>
            <w:placeholder>
              <w:docPart w:val="FEF2D3F8D9E34856A2218D27B5319A5B"/>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D4C02" w:rsidRPr="00467C54" w:rsidRDefault="003B646C" w:rsidP="00A13957">
                <w:pPr>
                  <w:jc w:val="center"/>
                  <w:rPr>
                    <w:rFonts w:asciiTheme="majorHAnsi" w:eastAsiaTheme="majorEastAsia" w:hAnsiTheme="majorHAnsi" w:cstheme="minorHAnsi"/>
                    <w:sz w:val="44"/>
                    <w:szCs w:val="44"/>
                  </w:rPr>
                </w:pPr>
                <w:r w:rsidRPr="00467C54">
                  <w:rPr>
                    <w:rFonts w:asciiTheme="majorHAnsi" w:eastAsiaTheme="majorEastAsia" w:hAnsiTheme="majorHAnsi" w:cstheme="minorHAnsi"/>
                    <w:sz w:val="44"/>
                    <w:szCs w:val="44"/>
                  </w:rPr>
                  <w:t>Final Report</w:t>
                </w:r>
              </w:p>
            </w:tc>
          </w:sdtContent>
        </w:sdt>
      </w:tr>
      <w:tr w:rsidR="00FD4C02" w:rsidRPr="00467C54" w:rsidTr="00A13957">
        <w:trPr>
          <w:trHeight w:val="360"/>
        </w:trPr>
        <w:tc>
          <w:tcPr>
            <w:tcW w:w="5000" w:type="pct"/>
            <w:vAlign w:val="center"/>
          </w:tcPr>
          <w:p w:rsidR="00FD4C02" w:rsidRPr="00467C54" w:rsidRDefault="00FD4C02" w:rsidP="005A0156">
            <w:pPr>
              <w:rPr>
                <w:rFonts w:asciiTheme="majorHAnsi" w:hAnsiTheme="majorHAnsi"/>
              </w:rPr>
            </w:pPr>
          </w:p>
        </w:tc>
      </w:tr>
      <w:tr w:rsidR="00FD4C02" w:rsidRPr="00467C54" w:rsidTr="00A13957">
        <w:trPr>
          <w:trHeight w:val="360"/>
        </w:trPr>
        <w:sdt>
          <w:sdtPr>
            <w:rPr>
              <w:rFonts w:asciiTheme="majorHAnsi" w:hAnsiTheme="majorHAnsi"/>
              <w:b/>
              <w:bCs/>
            </w:rPr>
            <w:alias w:val="Author"/>
            <w:id w:val="15524260"/>
            <w:placeholder>
              <w:docPart w:val="43B4ECF3B6DC477A99672A6AE4C9657A"/>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D4C02" w:rsidRPr="00467C54" w:rsidRDefault="00066B3F" w:rsidP="00A13957">
                <w:pPr>
                  <w:jc w:val="center"/>
                  <w:rPr>
                    <w:rFonts w:asciiTheme="majorHAnsi" w:hAnsiTheme="majorHAnsi"/>
                    <w:b/>
                    <w:bCs/>
                  </w:rPr>
                </w:pPr>
                <w:r w:rsidRPr="00467C54">
                  <w:rPr>
                    <w:rFonts w:asciiTheme="majorHAnsi" w:hAnsiTheme="majorHAnsi"/>
                    <w:b/>
                    <w:bCs/>
                  </w:rPr>
                  <w:t>Dr Austyn Snowden &amp; Dr Ewan MacArthur</w:t>
                </w:r>
              </w:p>
            </w:tc>
          </w:sdtContent>
        </w:sdt>
      </w:tr>
      <w:tr w:rsidR="00FD4C02" w:rsidRPr="00467C54" w:rsidTr="00A13957">
        <w:trPr>
          <w:trHeight w:val="360"/>
        </w:trPr>
        <w:tc>
          <w:tcPr>
            <w:tcW w:w="5000" w:type="pct"/>
            <w:vAlign w:val="center"/>
          </w:tcPr>
          <w:p w:rsidR="00FD4C02" w:rsidRPr="00467C54" w:rsidRDefault="00FD4C02" w:rsidP="0062500F">
            <w:pPr>
              <w:jc w:val="center"/>
              <w:rPr>
                <w:rFonts w:asciiTheme="majorHAnsi" w:hAnsiTheme="majorHAnsi"/>
                <w:b/>
                <w:bCs/>
              </w:rPr>
            </w:pPr>
          </w:p>
        </w:tc>
      </w:tr>
    </w:tbl>
    <w:p w:rsidR="00FD4C02" w:rsidRPr="00467C54" w:rsidRDefault="00EA0B70" w:rsidP="00EA0B70">
      <w:pPr>
        <w:jc w:val="center"/>
        <w:rPr>
          <w:rFonts w:asciiTheme="majorHAnsi" w:hAnsiTheme="majorHAnsi"/>
        </w:rPr>
      </w:pPr>
      <w:r w:rsidRPr="00467C54">
        <w:rPr>
          <w:rFonts w:asciiTheme="majorHAnsi" w:hAnsiTheme="majorHAnsi"/>
          <w:noProof/>
          <w:lang w:eastAsia="en-GB"/>
        </w:rPr>
        <w:drawing>
          <wp:inline distT="0" distB="0" distL="0" distR="0">
            <wp:extent cx="4766310" cy="3649980"/>
            <wp:effectExtent l="19050" t="0" r="0" b="0"/>
            <wp:docPr id="2" name="Picture 1" descr="rasch 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ch analysis.png"/>
                    <pic:cNvPicPr/>
                  </pic:nvPicPr>
                  <pic:blipFill>
                    <a:blip r:embed="rId11"/>
                    <a:stretch>
                      <a:fillRect/>
                    </a:stretch>
                  </pic:blipFill>
                  <pic:spPr>
                    <a:xfrm>
                      <a:off x="0" y="0"/>
                      <a:ext cx="4762500" cy="3647062"/>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FD4C02" w:rsidRPr="00467C54">
        <w:sdt>
          <w:sdtPr>
            <w:rPr>
              <w:rFonts w:asciiTheme="majorHAnsi" w:hAnsiTheme="majorHAnsi"/>
            </w:rPr>
            <w:alias w:val="Abstract"/>
            <w:id w:val="11653030"/>
            <w:placeholder>
              <w:docPart w:val="8F41299244A74420ABCA7C0EFA40BE7B"/>
            </w:placeholder>
            <w:dataBinding w:prefixMappings="xmlns:ns0='http://schemas.microsoft.com/office/2006/coverPageProps'" w:xpath="/ns0:CoverPageProperties[1]/ns0:Abstract[1]" w:storeItemID="{55AF091B-3C7A-41E3-B477-F2FDAA23CFDA}"/>
            <w:text/>
          </w:sdtPr>
          <w:sdtEndPr/>
          <w:sdtContent>
            <w:tc>
              <w:tcPr>
                <w:tcW w:w="5000" w:type="pct"/>
              </w:tcPr>
              <w:p w:rsidR="00FD4C02" w:rsidRPr="00467C54" w:rsidRDefault="00173992" w:rsidP="0062633C">
                <w:pPr>
                  <w:jc w:val="center"/>
                  <w:rPr>
                    <w:rFonts w:asciiTheme="majorHAnsi" w:hAnsiTheme="majorHAnsi"/>
                  </w:rPr>
                </w:pPr>
                <w:r w:rsidRPr="00467C54">
                  <w:rPr>
                    <w:rFonts w:asciiTheme="majorHAnsi" w:hAnsiTheme="majorHAnsi"/>
                  </w:rPr>
                  <w:t>This is the final report for the external validation of NHS Scotland Employment Engagement Index (N</w:t>
                </w:r>
                <w:r w:rsidR="005A0156" w:rsidRPr="00467C54">
                  <w:rPr>
                    <w:rFonts w:asciiTheme="majorHAnsi" w:hAnsiTheme="majorHAnsi"/>
                  </w:rPr>
                  <w:t>H</w:t>
                </w:r>
                <w:r w:rsidRPr="00467C54">
                  <w:rPr>
                    <w:rFonts w:asciiTheme="majorHAnsi" w:hAnsiTheme="majorHAnsi"/>
                  </w:rPr>
                  <w:t>SEEI). It e</w:t>
                </w:r>
                <w:r w:rsidR="005A0156" w:rsidRPr="00467C54">
                  <w:rPr>
                    <w:rFonts w:asciiTheme="majorHAnsi" w:hAnsiTheme="majorHAnsi"/>
                  </w:rPr>
                  <w:t>ntails in depth analysis of 1193</w:t>
                </w:r>
                <w:r w:rsidRPr="00467C54">
                  <w:rPr>
                    <w:rFonts w:asciiTheme="majorHAnsi" w:hAnsiTheme="majorHAnsi"/>
                  </w:rPr>
                  <w:t xml:space="preserve"> responses to the questionnaire. It describes a </w:t>
                </w:r>
                <w:r w:rsidR="005A0156" w:rsidRPr="00467C54">
                  <w:rPr>
                    <w:rFonts w:asciiTheme="majorHAnsi" w:hAnsiTheme="majorHAnsi"/>
                  </w:rPr>
                  <w:t>four</w:t>
                </w:r>
                <w:r w:rsidRPr="00467C54">
                  <w:rPr>
                    <w:rFonts w:asciiTheme="majorHAnsi" w:hAnsiTheme="majorHAnsi"/>
                  </w:rPr>
                  <w:t>-factor structure to the questionnaire and details the item fit. It analyses the response pattern of a typical NHS</w:t>
                </w:r>
                <w:r w:rsidR="003D0D9F">
                  <w:rPr>
                    <w:rFonts w:asciiTheme="majorHAnsi" w:hAnsiTheme="majorHAnsi"/>
                  </w:rPr>
                  <w:t xml:space="preserve"> </w:t>
                </w:r>
                <w:r w:rsidRPr="00467C54">
                  <w:rPr>
                    <w:rFonts w:asciiTheme="majorHAnsi" w:hAnsiTheme="majorHAnsi"/>
                  </w:rPr>
                  <w:t>Scotland staff member and concludes that this questionnaire provides an excellent metric within which to measure improvement in staff engagement. Recommendations are detailed within the body of the report.</w:t>
                </w:r>
              </w:p>
            </w:tc>
          </w:sdtContent>
        </w:sdt>
      </w:tr>
    </w:tbl>
    <w:p w:rsidR="006C0185" w:rsidRPr="00467C54" w:rsidRDefault="006C0185" w:rsidP="005A0156">
      <w:pPr>
        <w:pStyle w:val="Heading2"/>
        <w:sectPr w:rsidR="006C0185" w:rsidRPr="00467C54" w:rsidSect="008260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lang w:val="en-GB"/>
        </w:rPr>
        <w:id w:val="17495076"/>
        <w:docPartObj>
          <w:docPartGallery w:val="Table of Contents"/>
          <w:docPartUnique/>
        </w:docPartObj>
      </w:sdtPr>
      <w:sdtEndPr/>
      <w:sdtContent>
        <w:p w:rsidR="006C0185" w:rsidRPr="00467C54" w:rsidRDefault="006C0185" w:rsidP="005A0156">
          <w:pPr>
            <w:pStyle w:val="TOCHeading"/>
            <w:jc w:val="both"/>
          </w:pPr>
          <w:r w:rsidRPr="00467C54">
            <w:t>Table of Contents</w:t>
          </w:r>
        </w:p>
        <w:p w:rsidR="0062633C" w:rsidRPr="00467C54" w:rsidRDefault="006F6711">
          <w:pPr>
            <w:pStyle w:val="TOC2"/>
            <w:tabs>
              <w:tab w:val="right" w:leader="dot" w:pos="9016"/>
            </w:tabs>
            <w:rPr>
              <w:rFonts w:asciiTheme="majorHAnsi" w:eastAsiaTheme="minorEastAsia" w:hAnsiTheme="majorHAnsi"/>
              <w:noProof/>
              <w:lang w:eastAsia="en-GB"/>
            </w:rPr>
          </w:pPr>
          <w:r w:rsidRPr="00467C54">
            <w:rPr>
              <w:rFonts w:asciiTheme="majorHAnsi" w:hAnsiTheme="majorHAnsi"/>
            </w:rPr>
            <w:fldChar w:fldCharType="begin"/>
          </w:r>
          <w:r w:rsidR="006C0185" w:rsidRPr="00467C54">
            <w:rPr>
              <w:rFonts w:asciiTheme="majorHAnsi" w:hAnsiTheme="majorHAnsi"/>
            </w:rPr>
            <w:instrText xml:space="preserve"> TOC \o "1-3" \h \z \u </w:instrText>
          </w:r>
          <w:r w:rsidRPr="00467C54">
            <w:rPr>
              <w:rFonts w:asciiTheme="majorHAnsi" w:hAnsiTheme="majorHAnsi"/>
            </w:rPr>
            <w:fldChar w:fldCharType="separate"/>
          </w:r>
          <w:hyperlink w:anchor="_Toc351201873" w:history="1">
            <w:r w:rsidR="0062633C" w:rsidRPr="00467C54">
              <w:rPr>
                <w:rStyle w:val="Hyperlink"/>
                <w:rFonts w:asciiTheme="majorHAnsi" w:hAnsiTheme="majorHAnsi"/>
                <w:noProof/>
              </w:rPr>
              <w:t>Executive summary</w:t>
            </w:r>
            <w:r w:rsidR="0062633C" w:rsidRPr="00467C54">
              <w:rPr>
                <w:rFonts w:asciiTheme="majorHAnsi" w:hAnsiTheme="majorHAnsi"/>
                <w:noProof/>
                <w:webHidden/>
              </w:rPr>
              <w:tab/>
            </w:r>
            <w:r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_Toc351201873 \h </w:instrText>
            </w:r>
            <w:r w:rsidRPr="00467C54">
              <w:rPr>
                <w:rFonts w:asciiTheme="majorHAnsi" w:hAnsiTheme="majorHAnsi"/>
                <w:noProof/>
                <w:webHidden/>
              </w:rPr>
            </w:r>
            <w:r w:rsidRPr="00467C54">
              <w:rPr>
                <w:rFonts w:asciiTheme="majorHAnsi" w:hAnsiTheme="majorHAnsi"/>
                <w:noProof/>
                <w:webHidden/>
              </w:rPr>
              <w:fldChar w:fldCharType="separate"/>
            </w:r>
            <w:r w:rsidR="00D23377">
              <w:rPr>
                <w:rFonts w:asciiTheme="majorHAnsi" w:hAnsiTheme="majorHAnsi"/>
                <w:noProof/>
                <w:webHidden/>
              </w:rPr>
              <w:t>4</w:t>
            </w:r>
            <w:r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874" w:history="1">
            <w:r w:rsidR="0062633C" w:rsidRPr="00467C54">
              <w:rPr>
                <w:rStyle w:val="Hyperlink"/>
                <w:rFonts w:asciiTheme="majorHAnsi" w:hAnsiTheme="majorHAnsi"/>
                <w:noProof/>
              </w:rPr>
              <w:t>Introduction</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_Toc351201874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6</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75" w:history="1">
            <w:r w:rsidR="0062633C" w:rsidRPr="00467C54">
              <w:rPr>
                <w:rStyle w:val="Hyperlink"/>
                <w:rFonts w:asciiTheme="majorHAnsi" w:hAnsiTheme="majorHAnsi"/>
                <w:noProof/>
              </w:rPr>
              <w:t>Background</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_Toc351201875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6</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876" w:history="1">
            <w:r w:rsidR="0062633C" w:rsidRPr="00467C54">
              <w:rPr>
                <w:rStyle w:val="Hyperlink"/>
                <w:rFonts w:asciiTheme="majorHAnsi" w:hAnsiTheme="majorHAnsi"/>
                <w:noProof/>
              </w:rPr>
              <w:t>Method</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_Toc351201876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9</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77" w:history="1">
            <w:r w:rsidR="0062633C" w:rsidRPr="00467C54">
              <w:rPr>
                <w:rStyle w:val="Hyperlink"/>
                <w:rFonts w:asciiTheme="majorHAnsi" w:hAnsiTheme="majorHAnsi"/>
                <w:noProof/>
              </w:rPr>
              <w:t>Data</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_Toc351201877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9</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78" w:history="1">
            <w:r w:rsidR="0062633C" w:rsidRPr="00467C54">
              <w:rPr>
                <w:rStyle w:val="Hyperlink"/>
                <w:rFonts w:asciiTheme="majorHAnsi" w:hAnsiTheme="majorHAnsi"/>
                <w:noProof/>
              </w:rPr>
              <w:t>Analytic procedures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_Toc351201878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10</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879" w:history="1">
            <w:r w:rsidR="0062633C" w:rsidRPr="00467C54">
              <w:rPr>
                <w:rStyle w:val="Hyperlink"/>
                <w:rFonts w:asciiTheme="majorHAnsi" w:hAnsiTheme="majorHAnsi"/>
                <w:noProof/>
              </w:rPr>
              <w:t>Results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_Toc351201879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12</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0" w:history="1">
            <w:r w:rsidR="0062633C" w:rsidRPr="00467C54">
              <w:rPr>
                <w:rStyle w:val="Hyperlink"/>
                <w:rFonts w:asciiTheme="majorHAnsi" w:hAnsiTheme="majorHAnsi"/>
                <w:noProof/>
              </w:rPr>
              <w:t>Descriptives: participants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_Toc351201880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12</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1" w:history="1">
            <w:r w:rsidR="0062633C" w:rsidRPr="00467C54">
              <w:rPr>
                <w:rStyle w:val="Hyperlink"/>
                <w:rFonts w:asciiTheme="majorHAnsi" w:hAnsiTheme="majorHAnsi"/>
                <w:noProof/>
              </w:rPr>
              <w:t>Descriptives: responses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_Toc351201881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13</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2" w:history="1">
            <w:r w:rsidR="0062633C" w:rsidRPr="00467C54">
              <w:rPr>
                <w:rStyle w:val="Hyperlink"/>
                <w:rFonts w:asciiTheme="majorHAnsi" w:hAnsiTheme="majorHAnsi"/>
                <w:noProof/>
              </w:rPr>
              <w:t>The NHSScotland Employee Engagement Index (NHSEEI)</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15</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883" w:history="1">
            <w:r w:rsidR="0062633C" w:rsidRPr="00467C54">
              <w:rPr>
                <w:rStyle w:val="Hyperlink"/>
                <w:rFonts w:asciiTheme="majorHAnsi" w:hAnsiTheme="majorHAnsi"/>
                <w:noProof/>
              </w:rPr>
              <w:t>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_Toc351201883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17</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4" w:history="1">
            <w:r w:rsidR="0062633C" w:rsidRPr="00467C54">
              <w:rPr>
                <w:rStyle w:val="Hyperlink"/>
                <w:rFonts w:asciiTheme="majorHAnsi" w:hAnsiTheme="majorHAnsi"/>
                <w:noProof/>
                <w:lang w:val="en-US"/>
              </w:rPr>
              <w:t>Factor 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_Toc351201884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17</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5" w:history="1">
            <w:r w:rsidR="0062633C" w:rsidRPr="00467C54">
              <w:rPr>
                <w:rStyle w:val="Hyperlink"/>
                <w:rFonts w:asciiTheme="majorHAnsi" w:hAnsiTheme="majorHAnsi"/>
                <w:noProof/>
              </w:rPr>
              <w:t>IRT &amp; Rasch 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_Toc351201885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21</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6" w:history="1">
            <w:r w:rsidR="0062633C" w:rsidRPr="00467C54">
              <w:rPr>
                <w:rStyle w:val="Hyperlink"/>
                <w:rFonts w:asciiTheme="majorHAnsi" w:hAnsiTheme="majorHAnsi"/>
                <w:noProof/>
              </w:rPr>
              <w:t>Item person map with Likert data</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_Toc351201886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22</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7" w:history="1">
            <w:r w:rsidR="0062633C" w:rsidRPr="00467C54">
              <w:rPr>
                <w:rStyle w:val="Hyperlink"/>
                <w:rFonts w:asciiTheme="majorHAnsi" w:hAnsiTheme="majorHAnsi"/>
                <w:noProof/>
              </w:rPr>
              <w:t>Detailed analysis of each question.</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_Toc351201887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25</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8" w:history="1">
            <w:r w:rsidR="0062633C" w:rsidRPr="00467C54">
              <w:rPr>
                <w:rStyle w:val="Hyperlink"/>
                <w:rFonts w:asciiTheme="majorHAnsi" w:hAnsiTheme="majorHAnsi"/>
                <w:noProof/>
                <w:lang w:eastAsia="en-GB"/>
              </w:rPr>
              <w:t>Summary synthesis of item 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_Toc351201888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25</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89" w:history="1">
            <w:r w:rsidR="0062633C" w:rsidRPr="00467C54">
              <w:rPr>
                <w:rStyle w:val="Hyperlink"/>
                <w:rFonts w:asciiTheme="majorHAnsi" w:hAnsiTheme="majorHAnsi"/>
                <w:noProof/>
                <w:lang w:eastAsia="en-GB"/>
              </w:rPr>
              <w:t>Is engagement related to role?</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_Toc351201889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27</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0" w:history="1">
            <w:r w:rsidR="0062633C" w:rsidRPr="00467C54">
              <w:rPr>
                <w:rStyle w:val="Hyperlink"/>
                <w:rFonts w:asciiTheme="majorHAnsi" w:hAnsiTheme="majorHAnsi"/>
                <w:noProof/>
                <w:lang w:eastAsia="en-GB"/>
              </w:rPr>
              <w:t>How reliable is this finding?</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_Toc351201890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27</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891" w:history="1">
            <w:r w:rsidR="0062633C" w:rsidRPr="00467C54">
              <w:rPr>
                <w:rStyle w:val="Hyperlink"/>
                <w:rFonts w:asciiTheme="majorHAnsi" w:hAnsiTheme="majorHAnsi"/>
                <w:noProof/>
                <w:lang w:eastAsia="en-GB"/>
              </w:rPr>
              <w:t>Discussion</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_Toc351201891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28</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2" w:history="1">
            <w:r w:rsidR="0062633C" w:rsidRPr="00467C54">
              <w:rPr>
                <w:rStyle w:val="Hyperlink"/>
                <w:rFonts w:asciiTheme="majorHAnsi" w:eastAsia="Times New Roman" w:hAnsiTheme="majorHAnsi"/>
                <w:noProof/>
                <w:lang w:eastAsia="en-GB"/>
              </w:rPr>
              <w:t>What this study found</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29</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3" w:history="1">
            <w:r w:rsidR="0062633C" w:rsidRPr="00467C54">
              <w:rPr>
                <w:rStyle w:val="Hyperlink"/>
                <w:rFonts w:asciiTheme="majorHAnsi" w:eastAsia="Times New Roman" w:hAnsiTheme="majorHAnsi"/>
                <w:noProof/>
                <w:lang w:eastAsia="en-GB"/>
              </w:rPr>
              <w:t>Context and theory:  why these findings are valid</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_Toc351201893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29</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4" w:history="1">
            <w:r w:rsidR="0062633C" w:rsidRPr="00467C54">
              <w:rPr>
                <w:rStyle w:val="Hyperlink"/>
                <w:rFonts w:asciiTheme="majorHAnsi" w:hAnsiTheme="majorHAnsi"/>
                <w:noProof/>
              </w:rPr>
              <w:t>A justification for factor 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_Toc351201894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30</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5" w:history="1">
            <w:r w:rsidR="0062633C" w:rsidRPr="00467C54">
              <w:rPr>
                <w:rStyle w:val="Hyperlink"/>
                <w:rFonts w:asciiTheme="majorHAnsi" w:eastAsia="Times New Roman" w:hAnsiTheme="majorHAnsi"/>
                <w:noProof/>
                <w:lang w:eastAsia="en-GB"/>
              </w:rPr>
              <w:t>A justification for Rasch analysis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_Toc351201895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30</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6" w:history="1">
            <w:r w:rsidR="0062633C" w:rsidRPr="00467C54">
              <w:rPr>
                <w:rStyle w:val="Hyperlink"/>
                <w:rFonts w:asciiTheme="majorHAnsi" w:eastAsia="Times New Roman" w:hAnsiTheme="majorHAnsi"/>
                <w:noProof/>
                <w:lang w:eastAsia="en-GB"/>
              </w:rPr>
              <w:t>Factor analysis and Rasch analysis: complementary or contradictory?</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_Toc351201896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30</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7" w:history="1">
            <w:r w:rsidR="0062633C" w:rsidRPr="00467C54">
              <w:rPr>
                <w:rStyle w:val="Hyperlink"/>
                <w:rFonts w:asciiTheme="majorHAnsi" w:eastAsia="Times New Roman" w:hAnsiTheme="majorHAnsi"/>
                <w:noProof/>
                <w:lang w:eastAsia="en-GB"/>
              </w:rPr>
              <w:t>Where are the weak points?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_Toc351201897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31</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8" w:history="1">
            <w:r w:rsidR="0062633C" w:rsidRPr="00467C54">
              <w:rPr>
                <w:rStyle w:val="Hyperlink"/>
                <w:rFonts w:asciiTheme="majorHAnsi" w:eastAsia="Times New Roman" w:hAnsiTheme="majorHAnsi"/>
                <w:noProof/>
                <w:lang w:eastAsia="en-GB"/>
              </w:rPr>
              <w:t>Item 29: A global metric?</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_Toc351201898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31</w:t>
            </w:r>
            <w:r w:rsidR="006F6711" w:rsidRPr="00467C54">
              <w:rPr>
                <w:rFonts w:asciiTheme="majorHAnsi" w:hAnsiTheme="majorHAnsi"/>
                <w:noProof/>
                <w:webHidden/>
              </w:rPr>
              <w:fldChar w:fldCharType="end"/>
            </w:r>
          </w:hyperlink>
        </w:p>
        <w:p w:rsidR="0062633C" w:rsidRPr="00467C54" w:rsidRDefault="00D367E2">
          <w:pPr>
            <w:pStyle w:val="TOC3"/>
            <w:tabs>
              <w:tab w:val="right" w:leader="dot" w:pos="9016"/>
            </w:tabs>
            <w:rPr>
              <w:rFonts w:asciiTheme="majorHAnsi" w:eastAsiaTheme="minorEastAsia" w:hAnsiTheme="majorHAnsi"/>
              <w:noProof/>
              <w:lang w:eastAsia="en-GB"/>
            </w:rPr>
          </w:pPr>
          <w:hyperlink w:anchor="_Toc351201899" w:history="1">
            <w:r w:rsidR="0062633C" w:rsidRPr="00467C54">
              <w:rPr>
                <w:rStyle w:val="Hyperlink"/>
                <w:rFonts w:asciiTheme="majorHAnsi" w:hAnsiTheme="majorHAnsi"/>
                <w:noProof/>
              </w:rPr>
              <w:t>What did NHSScotland staff think of the NHSEEI?</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_Toc351201899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32</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900" w:history="1">
            <w:r w:rsidR="0062633C" w:rsidRPr="00467C54">
              <w:rPr>
                <w:rStyle w:val="Hyperlink"/>
                <w:rFonts w:asciiTheme="majorHAnsi" w:hAnsiTheme="majorHAnsi"/>
                <w:noProof/>
                <w:lang w:eastAsia="en-GB"/>
              </w:rPr>
              <w:t>Recommendations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_Toc351201900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32</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901" w:history="1">
            <w:r w:rsidR="0062633C" w:rsidRPr="00467C54">
              <w:rPr>
                <w:rStyle w:val="Hyperlink"/>
                <w:rFonts w:asciiTheme="majorHAnsi" w:hAnsiTheme="majorHAnsi"/>
                <w:noProof/>
                <w:lang w:eastAsia="en-GB"/>
              </w:rPr>
              <w:t>References</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_Toc351201901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33</w:t>
            </w:r>
            <w:r w:rsidR="006F6711" w:rsidRPr="00467C54">
              <w:rPr>
                <w:rFonts w:asciiTheme="majorHAnsi" w:hAnsiTheme="majorHAnsi"/>
                <w:noProof/>
                <w:webHidden/>
              </w:rPr>
              <w:fldChar w:fldCharType="end"/>
            </w:r>
          </w:hyperlink>
        </w:p>
        <w:p w:rsidR="0062633C" w:rsidRPr="00467C54" w:rsidRDefault="00D367E2">
          <w:pPr>
            <w:pStyle w:val="TOC2"/>
            <w:tabs>
              <w:tab w:val="right" w:leader="dot" w:pos="9016"/>
            </w:tabs>
            <w:rPr>
              <w:rFonts w:asciiTheme="majorHAnsi" w:eastAsiaTheme="minorEastAsia" w:hAnsiTheme="majorHAnsi"/>
              <w:noProof/>
              <w:lang w:eastAsia="en-GB"/>
            </w:rPr>
          </w:pPr>
          <w:hyperlink w:anchor="_Toc351201902" w:history="1">
            <w:r w:rsidR="0062633C" w:rsidRPr="00467C54">
              <w:rPr>
                <w:rStyle w:val="Hyperlink"/>
                <w:rFonts w:asciiTheme="majorHAnsi" w:hAnsiTheme="majorHAnsi"/>
                <w:noProof/>
              </w:rPr>
              <w:t>Appendix 1.  NHSEEI</w:t>
            </w:r>
            <w:r w:rsidR="0062633C" w:rsidRPr="00467C54">
              <w:rPr>
                <w:rFonts w:asciiTheme="majorHAnsi" w:hAnsiTheme="majorHAnsi"/>
                <w:noProof/>
                <w:webHidden/>
              </w:rPr>
              <w:tab/>
            </w:r>
            <w:r w:rsidR="006F6711" w:rsidRPr="00467C54">
              <w:rPr>
                <w:rFonts w:asciiTheme="majorHAnsi" w:hAnsiTheme="majorHAnsi"/>
                <w:noProof/>
                <w:webHidden/>
              </w:rPr>
              <w:fldChar w:fldCharType="begin"/>
            </w:r>
            <w:r w:rsidR="0062633C" w:rsidRPr="00467C54">
              <w:rPr>
                <w:rFonts w:asciiTheme="majorHAnsi" w:hAnsiTheme="majorHAnsi"/>
                <w:noProof/>
                <w:webHidden/>
              </w:rPr>
              <w:instrText xml:space="preserve"> PAGEREF _Toc351201902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35</w:t>
            </w:r>
            <w:r w:rsidR="006F6711" w:rsidRPr="00467C54">
              <w:rPr>
                <w:rFonts w:asciiTheme="majorHAnsi" w:hAnsiTheme="majorHAnsi"/>
                <w:noProof/>
                <w:webHidden/>
              </w:rPr>
              <w:fldChar w:fldCharType="end"/>
            </w:r>
          </w:hyperlink>
        </w:p>
        <w:p w:rsidR="006C0185" w:rsidRPr="00467C54" w:rsidRDefault="006F6711" w:rsidP="005A0156">
          <w:pPr>
            <w:rPr>
              <w:rFonts w:asciiTheme="majorHAnsi" w:hAnsiTheme="majorHAnsi"/>
            </w:rPr>
          </w:pPr>
          <w:r w:rsidRPr="00467C54">
            <w:rPr>
              <w:rFonts w:asciiTheme="majorHAnsi" w:hAnsiTheme="majorHAnsi"/>
            </w:rPr>
            <w:fldChar w:fldCharType="end"/>
          </w:r>
        </w:p>
      </w:sdtContent>
    </w:sdt>
    <w:p w:rsidR="00C01212" w:rsidRPr="00467C54" w:rsidRDefault="00C01212" w:rsidP="005A0156">
      <w:pPr>
        <w:pStyle w:val="TableofFigures"/>
        <w:tabs>
          <w:tab w:val="right" w:leader="dot" w:pos="9016"/>
        </w:tabs>
        <w:rPr>
          <w:rFonts w:asciiTheme="majorHAnsi" w:hAnsiTheme="majorHAnsi"/>
        </w:rPr>
      </w:pPr>
    </w:p>
    <w:p w:rsidR="00C01212" w:rsidRPr="00467C54" w:rsidRDefault="00C01212" w:rsidP="005A0156">
      <w:pPr>
        <w:pStyle w:val="TableofFigures"/>
        <w:tabs>
          <w:tab w:val="right" w:leader="dot" w:pos="9016"/>
        </w:tabs>
        <w:rPr>
          <w:rFonts w:asciiTheme="majorHAnsi" w:hAnsiTheme="majorHAnsi"/>
        </w:rPr>
      </w:pPr>
    </w:p>
    <w:p w:rsidR="00C01212" w:rsidRPr="00467C54" w:rsidRDefault="00C01212" w:rsidP="005A0156">
      <w:pPr>
        <w:pStyle w:val="TableofFigures"/>
        <w:tabs>
          <w:tab w:val="right" w:leader="dot" w:pos="9016"/>
        </w:tabs>
        <w:rPr>
          <w:rFonts w:asciiTheme="majorHAnsi" w:hAnsiTheme="majorHAnsi"/>
        </w:rPr>
      </w:pPr>
    </w:p>
    <w:p w:rsidR="00C01212" w:rsidRPr="00467C54" w:rsidRDefault="00C01212" w:rsidP="005A0156">
      <w:pPr>
        <w:pStyle w:val="TableofFigures"/>
        <w:tabs>
          <w:tab w:val="right" w:leader="dot" w:pos="9016"/>
        </w:tabs>
        <w:rPr>
          <w:rFonts w:asciiTheme="majorHAnsi" w:hAnsiTheme="majorHAnsi"/>
        </w:rPr>
      </w:pPr>
    </w:p>
    <w:p w:rsidR="00C01212" w:rsidRDefault="00C01212" w:rsidP="005A0156">
      <w:pPr>
        <w:pStyle w:val="TableofFigures"/>
        <w:tabs>
          <w:tab w:val="right" w:leader="dot" w:pos="9016"/>
        </w:tabs>
        <w:rPr>
          <w:rFonts w:asciiTheme="majorHAnsi" w:hAnsiTheme="majorHAnsi"/>
        </w:rPr>
      </w:pPr>
    </w:p>
    <w:p w:rsidR="00467C54" w:rsidRPr="00467C54" w:rsidRDefault="00467C54" w:rsidP="00467C54"/>
    <w:p w:rsidR="000470CA" w:rsidRPr="00467C54" w:rsidRDefault="000470CA" w:rsidP="000470CA">
      <w:pPr>
        <w:rPr>
          <w:rFonts w:asciiTheme="majorHAnsi" w:hAnsiTheme="majorHAnsi"/>
        </w:rPr>
      </w:pPr>
    </w:p>
    <w:p w:rsidR="00C01212" w:rsidRPr="00467C54" w:rsidRDefault="00C01212" w:rsidP="005A0156">
      <w:pPr>
        <w:pStyle w:val="TableofFigures"/>
        <w:tabs>
          <w:tab w:val="right" w:leader="dot" w:pos="9016"/>
        </w:tabs>
        <w:rPr>
          <w:rFonts w:asciiTheme="majorHAnsi" w:hAnsiTheme="majorHAnsi"/>
        </w:rPr>
      </w:pPr>
    </w:p>
    <w:p w:rsidR="00461018" w:rsidRPr="00467C54" w:rsidRDefault="005A0156" w:rsidP="005A0156">
      <w:pPr>
        <w:pStyle w:val="TableofFigures"/>
        <w:tabs>
          <w:tab w:val="right" w:leader="dot" w:pos="9016"/>
        </w:tabs>
        <w:rPr>
          <w:rFonts w:asciiTheme="majorHAnsi" w:hAnsiTheme="majorHAnsi"/>
          <w:b/>
        </w:rPr>
      </w:pPr>
      <w:r w:rsidRPr="00467C54">
        <w:rPr>
          <w:rFonts w:asciiTheme="majorHAnsi" w:hAnsiTheme="majorHAnsi"/>
          <w:b/>
        </w:rPr>
        <w:lastRenderedPageBreak/>
        <w:t>F</w:t>
      </w:r>
      <w:r w:rsidR="00C01212" w:rsidRPr="00467C54">
        <w:rPr>
          <w:rFonts w:asciiTheme="majorHAnsi" w:hAnsiTheme="majorHAnsi"/>
          <w:b/>
        </w:rPr>
        <w:t>igures</w:t>
      </w:r>
    </w:p>
    <w:p w:rsidR="00461018" w:rsidRPr="00467C54" w:rsidRDefault="00461018" w:rsidP="005A0156">
      <w:pPr>
        <w:rPr>
          <w:rFonts w:asciiTheme="majorHAnsi" w:hAnsiTheme="majorHAnsi"/>
        </w:rPr>
      </w:pPr>
    </w:p>
    <w:p w:rsidR="000470CA" w:rsidRPr="00467C54" w:rsidRDefault="006F6711">
      <w:pPr>
        <w:pStyle w:val="TableofFigures"/>
        <w:tabs>
          <w:tab w:val="right" w:leader="dot" w:pos="9016"/>
        </w:tabs>
        <w:rPr>
          <w:rFonts w:asciiTheme="majorHAnsi" w:eastAsiaTheme="minorEastAsia" w:hAnsiTheme="majorHAnsi"/>
          <w:noProof/>
          <w:lang w:eastAsia="en-GB"/>
        </w:rPr>
      </w:pPr>
      <w:r w:rsidRPr="00467C54">
        <w:rPr>
          <w:rFonts w:asciiTheme="majorHAnsi" w:hAnsiTheme="majorHAnsi"/>
        </w:rPr>
        <w:fldChar w:fldCharType="begin"/>
      </w:r>
      <w:r w:rsidR="00461018" w:rsidRPr="00467C54">
        <w:rPr>
          <w:rFonts w:asciiTheme="majorHAnsi" w:hAnsiTheme="majorHAnsi"/>
        </w:rPr>
        <w:instrText xml:space="preserve"> TOC \h \z \t "Heading 5" \c </w:instrText>
      </w:r>
      <w:r w:rsidRPr="00467C54">
        <w:rPr>
          <w:rFonts w:asciiTheme="majorHAnsi" w:hAnsiTheme="majorHAnsi"/>
        </w:rPr>
        <w:fldChar w:fldCharType="separate"/>
      </w:r>
      <w:hyperlink w:anchor="_Toc351020501" w:history="1">
        <w:r w:rsidR="000470CA" w:rsidRPr="00467C54">
          <w:rPr>
            <w:rStyle w:val="Hyperlink"/>
            <w:rFonts w:asciiTheme="majorHAnsi" w:hAnsiTheme="majorHAnsi"/>
            <w:noProof/>
          </w:rPr>
          <w:t>Figure 1. Drivers of staff engagement</w:t>
        </w:r>
        <w:r w:rsidR="000470CA" w:rsidRPr="00467C54">
          <w:rPr>
            <w:rFonts w:asciiTheme="majorHAnsi" w:hAnsiTheme="majorHAnsi"/>
            <w:noProof/>
            <w:webHidden/>
          </w:rPr>
          <w:tab/>
        </w:r>
        <w:r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_Toc351020501 \h </w:instrText>
        </w:r>
        <w:r w:rsidRPr="00467C54">
          <w:rPr>
            <w:rFonts w:asciiTheme="majorHAnsi" w:hAnsiTheme="majorHAnsi"/>
            <w:noProof/>
            <w:webHidden/>
          </w:rPr>
        </w:r>
        <w:r w:rsidRPr="00467C54">
          <w:rPr>
            <w:rFonts w:asciiTheme="majorHAnsi" w:hAnsiTheme="majorHAnsi"/>
            <w:noProof/>
            <w:webHidden/>
          </w:rPr>
          <w:fldChar w:fldCharType="separate"/>
        </w:r>
        <w:r w:rsidR="00D23377">
          <w:rPr>
            <w:rFonts w:asciiTheme="majorHAnsi" w:hAnsiTheme="majorHAnsi"/>
            <w:noProof/>
            <w:webHidden/>
          </w:rPr>
          <w:t>8</w:t>
        </w:r>
        <w:r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2" w:history="1">
        <w:r w:rsidR="000470CA" w:rsidRPr="00467C54">
          <w:rPr>
            <w:rStyle w:val="Hyperlink"/>
            <w:rFonts w:asciiTheme="majorHAnsi" w:hAnsiTheme="majorHAnsi"/>
            <w:noProof/>
          </w:rPr>
          <w:t>Figure 2. Sample by profession</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12</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3" w:history="1">
        <w:r w:rsidR="000470CA" w:rsidRPr="00467C54">
          <w:rPr>
            <w:rStyle w:val="Hyperlink"/>
            <w:rFonts w:asciiTheme="majorHAnsi" w:hAnsiTheme="majorHAnsi"/>
            <w:noProof/>
          </w:rPr>
          <w:t>Figure 3. National NHSScotland staff population breakdown</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_Toc351020503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13</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4" w:history="1">
        <w:r w:rsidR="000470CA" w:rsidRPr="00467C54">
          <w:rPr>
            <w:rStyle w:val="Hyperlink"/>
            <w:rFonts w:asciiTheme="majorHAnsi" w:hAnsiTheme="majorHAnsi"/>
            <w:noProof/>
          </w:rPr>
          <w:t>Figure 4. Summary of all responses by Likert Category</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_Toc351020504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14</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5" w:history="1">
        <w:r w:rsidR="000470CA" w:rsidRPr="00467C54">
          <w:rPr>
            <w:rStyle w:val="Hyperlink"/>
            <w:rFonts w:asciiTheme="majorHAnsi" w:hAnsiTheme="majorHAnsi"/>
            <w:noProof/>
          </w:rPr>
          <w:t>Figure 5. Mean NHSEEI (%) by profession</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_Toc351020505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15</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6" w:history="1">
        <w:r w:rsidR="000470CA" w:rsidRPr="00467C54">
          <w:rPr>
            <w:rStyle w:val="Hyperlink"/>
            <w:rFonts w:asciiTheme="majorHAnsi" w:hAnsiTheme="majorHAnsi"/>
            <w:noProof/>
          </w:rPr>
          <w:t>Figure 6. NHSEEI score by frequency</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_Toc351020506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16</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7" w:history="1">
        <w:r w:rsidR="000470CA" w:rsidRPr="00467C54">
          <w:rPr>
            <w:rStyle w:val="Hyperlink"/>
            <w:rFonts w:asciiTheme="majorHAnsi" w:hAnsiTheme="majorHAnsi"/>
            <w:noProof/>
          </w:rPr>
          <w:t>Figure 7. Responses to item 29: Overall within my organisation…</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_Toc351020507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16</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8" w:history="1">
        <w:r w:rsidR="000470CA" w:rsidRPr="00467C54">
          <w:rPr>
            <w:rStyle w:val="Hyperlink"/>
            <w:rFonts w:asciiTheme="majorHAnsi" w:hAnsiTheme="majorHAnsi"/>
            <w:noProof/>
          </w:rPr>
          <w:t>Figure 8. Four-factor solution</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_Toc351020508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20</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09" w:history="1">
        <w:r w:rsidR="000470CA" w:rsidRPr="00467C54">
          <w:rPr>
            <w:rStyle w:val="Hyperlink"/>
            <w:rFonts w:asciiTheme="majorHAnsi" w:hAnsiTheme="majorHAnsi"/>
            <w:noProof/>
          </w:rPr>
          <w:t>Figure 9. Item person map</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_Toc351020509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21</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10" w:history="1">
        <w:r w:rsidR="000470CA" w:rsidRPr="00467C54">
          <w:rPr>
            <w:rStyle w:val="Hyperlink"/>
            <w:rFonts w:asciiTheme="majorHAnsi" w:hAnsiTheme="majorHAnsi"/>
            <w:noProof/>
            <w:lang w:eastAsia="en-GB"/>
          </w:rPr>
          <w:t>Figure 10. Item person map with Likert parameter thresholds</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_Toc351020510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23</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11" w:history="1">
        <w:r w:rsidR="000470CA" w:rsidRPr="00467C54">
          <w:rPr>
            <w:rStyle w:val="Hyperlink"/>
            <w:rFonts w:asciiTheme="majorHAnsi" w:hAnsiTheme="majorHAnsi"/>
            <w:noProof/>
          </w:rPr>
          <w:t>Figure 11. Bubbleplot of all 28 items.</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_Toc351020511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24</w:t>
        </w:r>
        <w:r w:rsidR="006F6711" w:rsidRPr="00467C54">
          <w:rPr>
            <w:rFonts w:asciiTheme="majorHAnsi" w:hAnsiTheme="majorHAnsi"/>
            <w:noProof/>
            <w:webHidden/>
          </w:rPr>
          <w:fldChar w:fldCharType="end"/>
        </w:r>
      </w:hyperlink>
    </w:p>
    <w:p w:rsidR="000470CA" w:rsidRPr="00467C54" w:rsidRDefault="00D367E2">
      <w:pPr>
        <w:pStyle w:val="TableofFigures"/>
        <w:tabs>
          <w:tab w:val="right" w:leader="dot" w:pos="9016"/>
        </w:tabs>
        <w:rPr>
          <w:rFonts w:asciiTheme="majorHAnsi" w:eastAsiaTheme="minorEastAsia" w:hAnsiTheme="majorHAnsi"/>
          <w:noProof/>
          <w:lang w:eastAsia="en-GB"/>
        </w:rPr>
      </w:pPr>
      <w:hyperlink w:anchor="_Toc351020512" w:history="1">
        <w:r w:rsidR="000470CA" w:rsidRPr="00467C54">
          <w:rPr>
            <w:rStyle w:val="Hyperlink"/>
            <w:rFonts w:asciiTheme="majorHAnsi" w:hAnsiTheme="majorHAnsi"/>
            <w:bCs/>
            <w:iCs/>
            <w:noProof/>
          </w:rPr>
          <w:t>Figure 12. Bubbleplot with reversed items removed</w:t>
        </w:r>
        <w:r w:rsidR="000470CA" w:rsidRPr="00467C54">
          <w:rPr>
            <w:rFonts w:asciiTheme="majorHAnsi" w:hAnsiTheme="majorHAnsi"/>
            <w:noProof/>
            <w:webHidden/>
          </w:rPr>
          <w:tab/>
        </w:r>
        <w:r w:rsidR="006F6711" w:rsidRPr="00467C54">
          <w:rPr>
            <w:rFonts w:asciiTheme="majorHAnsi" w:hAnsiTheme="majorHAnsi"/>
            <w:noProof/>
            <w:webHidden/>
          </w:rPr>
          <w:fldChar w:fldCharType="begin"/>
        </w:r>
        <w:r w:rsidR="000470CA" w:rsidRPr="00467C54">
          <w:rPr>
            <w:rFonts w:asciiTheme="majorHAnsi" w:hAnsiTheme="majorHAnsi"/>
            <w:noProof/>
            <w:webHidden/>
          </w:rPr>
          <w:instrText xml:space="preserve"> PAGEREF _Toc351020512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26</w:t>
        </w:r>
        <w:r w:rsidR="006F6711" w:rsidRPr="00467C54">
          <w:rPr>
            <w:rFonts w:asciiTheme="majorHAnsi" w:hAnsiTheme="majorHAnsi"/>
            <w:noProof/>
            <w:webHidden/>
          </w:rPr>
          <w:fldChar w:fldCharType="end"/>
        </w:r>
      </w:hyperlink>
    </w:p>
    <w:p w:rsidR="00461018" w:rsidRPr="00467C54" w:rsidRDefault="006F6711" w:rsidP="005A0156">
      <w:pPr>
        <w:pStyle w:val="Heading2"/>
      </w:pPr>
      <w:r w:rsidRPr="00467C54">
        <w:fldChar w:fldCharType="end"/>
      </w:r>
    </w:p>
    <w:p w:rsidR="005A0156" w:rsidRPr="00467C54" w:rsidRDefault="005A0156" w:rsidP="005A0156">
      <w:pPr>
        <w:rPr>
          <w:rFonts w:asciiTheme="majorHAnsi" w:hAnsiTheme="majorHAnsi"/>
          <w:b/>
        </w:rPr>
      </w:pPr>
      <w:r w:rsidRPr="00467C54">
        <w:rPr>
          <w:rFonts w:asciiTheme="majorHAnsi" w:hAnsiTheme="majorHAnsi"/>
          <w:b/>
        </w:rPr>
        <w:t>Tables</w:t>
      </w:r>
    </w:p>
    <w:p w:rsidR="00DA5D24" w:rsidRPr="00467C54" w:rsidRDefault="006F6711" w:rsidP="00DA5D24">
      <w:pPr>
        <w:pStyle w:val="TableofFigures"/>
        <w:tabs>
          <w:tab w:val="right" w:leader="dot" w:pos="9016"/>
        </w:tabs>
        <w:rPr>
          <w:rFonts w:asciiTheme="majorHAnsi" w:eastAsiaTheme="minorEastAsia" w:hAnsiTheme="majorHAnsi"/>
          <w:noProof/>
          <w:lang w:eastAsia="en-GB"/>
        </w:rPr>
      </w:pPr>
      <w:r w:rsidRPr="00467C54">
        <w:rPr>
          <w:rFonts w:asciiTheme="majorHAnsi" w:hAnsiTheme="majorHAnsi"/>
        </w:rPr>
        <w:fldChar w:fldCharType="begin"/>
      </w:r>
      <w:r w:rsidR="005A0156" w:rsidRPr="00467C54">
        <w:rPr>
          <w:rFonts w:asciiTheme="majorHAnsi" w:hAnsiTheme="majorHAnsi"/>
        </w:rPr>
        <w:instrText xml:space="preserve"> TOC \h \z \t "Heading 4" \c </w:instrText>
      </w:r>
      <w:r w:rsidRPr="00467C54">
        <w:rPr>
          <w:rFonts w:asciiTheme="majorHAnsi" w:hAnsiTheme="majorHAnsi"/>
        </w:rPr>
        <w:fldChar w:fldCharType="separate"/>
      </w:r>
    </w:p>
    <w:p w:rsidR="00DA5D24" w:rsidRPr="00467C54" w:rsidRDefault="00D367E2">
      <w:pPr>
        <w:pStyle w:val="TableofFigures"/>
        <w:tabs>
          <w:tab w:val="right" w:leader="dot" w:pos="9016"/>
        </w:tabs>
        <w:rPr>
          <w:rFonts w:asciiTheme="majorHAnsi" w:eastAsiaTheme="minorEastAsia" w:hAnsiTheme="majorHAnsi"/>
          <w:noProof/>
          <w:lang w:eastAsia="en-GB"/>
        </w:rPr>
      </w:pPr>
      <w:hyperlink w:anchor="_Toc351130768" w:history="1">
        <w:r w:rsidR="00DA5D24" w:rsidRPr="00467C54">
          <w:rPr>
            <w:rStyle w:val="Hyperlink"/>
            <w:rFonts w:asciiTheme="majorHAnsi" w:hAnsiTheme="majorHAnsi"/>
            <w:noProof/>
          </w:rPr>
          <w:t>Table 1. Principal component analysis with reversed items removed</w:t>
        </w:r>
        <w:r w:rsidR="00DA5D24" w:rsidRPr="00467C54">
          <w:rPr>
            <w:rFonts w:asciiTheme="majorHAnsi" w:hAnsiTheme="majorHAnsi"/>
            <w:noProof/>
            <w:webHidden/>
          </w:rPr>
          <w:tab/>
        </w:r>
        <w:r w:rsidR="006F6711" w:rsidRPr="00467C54">
          <w:rPr>
            <w:rFonts w:asciiTheme="majorHAnsi" w:hAnsiTheme="majorHAnsi"/>
            <w:noProof/>
            <w:webHidden/>
          </w:rPr>
          <w:fldChar w:fldCharType="begin"/>
        </w:r>
        <w:r w:rsidR="00DA5D24" w:rsidRPr="00467C54">
          <w:rPr>
            <w:rFonts w:asciiTheme="majorHAnsi" w:hAnsiTheme="majorHAnsi"/>
            <w:noProof/>
            <w:webHidden/>
          </w:rPr>
          <w:instrText xml:space="preserve"> PAGEREF _Toc351130768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19</w:t>
        </w:r>
        <w:r w:rsidR="006F6711" w:rsidRPr="00467C54">
          <w:rPr>
            <w:rFonts w:asciiTheme="majorHAnsi" w:hAnsiTheme="majorHAnsi"/>
            <w:noProof/>
            <w:webHidden/>
          </w:rPr>
          <w:fldChar w:fldCharType="end"/>
        </w:r>
      </w:hyperlink>
    </w:p>
    <w:p w:rsidR="00DA5D24" w:rsidRPr="00467C54" w:rsidRDefault="00D367E2">
      <w:pPr>
        <w:pStyle w:val="TableofFigures"/>
        <w:tabs>
          <w:tab w:val="right" w:leader="dot" w:pos="9016"/>
        </w:tabs>
        <w:rPr>
          <w:rFonts w:asciiTheme="majorHAnsi" w:eastAsiaTheme="minorEastAsia" w:hAnsiTheme="majorHAnsi"/>
          <w:noProof/>
          <w:lang w:eastAsia="en-GB"/>
        </w:rPr>
      </w:pPr>
      <w:hyperlink w:anchor="_Toc351130769" w:history="1">
        <w:r w:rsidR="00DA5D24" w:rsidRPr="00467C54">
          <w:rPr>
            <w:rStyle w:val="Hyperlink"/>
            <w:rFonts w:asciiTheme="majorHAnsi" w:hAnsiTheme="majorHAnsi"/>
            <w:noProof/>
          </w:rPr>
          <w:t>Table 2.  Item difficulty estimates by rank</w:t>
        </w:r>
        <w:r w:rsidR="00DA5D24" w:rsidRPr="00467C54">
          <w:rPr>
            <w:rFonts w:asciiTheme="majorHAnsi" w:hAnsiTheme="majorHAnsi"/>
            <w:noProof/>
            <w:webHidden/>
          </w:rPr>
          <w:tab/>
        </w:r>
        <w:r w:rsidR="006F6711" w:rsidRPr="00467C54">
          <w:rPr>
            <w:rFonts w:asciiTheme="majorHAnsi" w:hAnsiTheme="majorHAnsi"/>
            <w:noProof/>
            <w:webHidden/>
          </w:rPr>
          <w:fldChar w:fldCharType="begin"/>
        </w:r>
        <w:r w:rsidR="00DA5D24" w:rsidRPr="00467C54">
          <w:rPr>
            <w:rFonts w:asciiTheme="majorHAnsi" w:hAnsiTheme="majorHAnsi"/>
            <w:noProof/>
            <w:webHidden/>
          </w:rPr>
          <w:instrText xml:space="preserve"> PAGEREF _Toc351130769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22</w:t>
        </w:r>
        <w:r w:rsidR="006F6711" w:rsidRPr="00467C54">
          <w:rPr>
            <w:rFonts w:asciiTheme="majorHAnsi" w:hAnsiTheme="majorHAnsi"/>
            <w:noProof/>
            <w:webHidden/>
          </w:rPr>
          <w:fldChar w:fldCharType="end"/>
        </w:r>
      </w:hyperlink>
    </w:p>
    <w:p w:rsidR="00DA5D24" w:rsidRPr="00467C54" w:rsidRDefault="00D367E2">
      <w:pPr>
        <w:pStyle w:val="TableofFigures"/>
        <w:tabs>
          <w:tab w:val="right" w:leader="dot" w:pos="9016"/>
        </w:tabs>
        <w:rPr>
          <w:rFonts w:asciiTheme="majorHAnsi" w:eastAsiaTheme="minorEastAsia" w:hAnsiTheme="majorHAnsi"/>
          <w:noProof/>
          <w:lang w:eastAsia="en-GB"/>
        </w:rPr>
      </w:pPr>
      <w:hyperlink w:anchor="_Toc351130771" w:history="1">
        <w:r w:rsidR="00DA5D24" w:rsidRPr="00467C54">
          <w:rPr>
            <w:rStyle w:val="Hyperlink"/>
            <w:rFonts w:asciiTheme="majorHAnsi" w:hAnsiTheme="majorHAnsi"/>
            <w:noProof/>
            <w:lang w:eastAsia="en-GB"/>
          </w:rPr>
          <w:t>Table 3. ANOVA in profession</w:t>
        </w:r>
        <w:r w:rsidR="00DA5D24" w:rsidRPr="00467C54">
          <w:rPr>
            <w:rFonts w:asciiTheme="majorHAnsi" w:hAnsiTheme="majorHAnsi"/>
            <w:noProof/>
            <w:webHidden/>
          </w:rPr>
          <w:tab/>
        </w:r>
        <w:r w:rsidR="006F6711" w:rsidRPr="00467C54">
          <w:rPr>
            <w:rFonts w:asciiTheme="majorHAnsi" w:hAnsiTheme="majorHAnsi"/>
            <w:noProof/>
            <w:webHidden/>
          </w:rPr>
          <w:fldChar w:fldCharType="begin"/>
        </w:r>
        <w:r w:rsidR="00DA5D24" w:rsidRPr="00467C54">
          <w:rPr>
            <w:rFonts w:asciiTheme="majorHAnsi" w:hAnsiTheme="majorHAnsi"/>
            <w:noProof/>
            <w:webHidden/>
          </w:rPr>
          <w:instrText xml:space="preserve"> PAGEREF _Toc351130771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27</w:t>
        </w:r>
        <w:r w:rsidR="006F6711" w:rsidRPr="00467C54">
          <w:rPr>
            <w:rFonts w:asciiTheme="majorHAnsi" w:hAnsiTheme="majorHAnsi"/>
            <w:noProof/>
            <w:webHidden/>
          </w:rPr>
          <w:fldChar w:fldCharType="end"/>
        </w:r>
      </w:hyperlink>
    </w:p>
    <w:p w:rsidR="00DA5D24" w:rsidRPr="00467C54" w:rsidRDefault="00D367E2">
      <w:pPr>
        <w:pStyle w:val="TableofFigures"/>
        <w:tabs>
          <w:tab w:val="right" w:leader="dot" w:pos="9016"/>
        </w:tabs>
        <w:rPr>
          <w:rFonts w:asciiTheme="majorHAnsi" w:eastAsiaTheme="minorEastAsia" w:hAnsiTheme="majorHAnsi"/>
          <w:noProof/>
          <w:lang w:eastAsia="en-GB"/>
        </w:rPr>
      </w:pPr>
      <w:hyperlink w:anchor="_Toc351130772" w:history="1">
        <w:r w:rsidR="00DA5D24" w:rsidRPr="00467C54">
          <w:rPr>
            <w:rStyle w:val="Hyperlink"/>
            <w:rFonts w:asciiTheme="majorHAnsi" w:hAnsiTheme="majorHAnsi"/>
            <w:noProof/>
            <w:lang w:val="en-US"/>
          </w:rPr>
          <w:t>Table 4. Correlation between NHSEEI and item 29</w:t>
        </w:r>
        <w:r w:rsidR="00DA5D24" w:rsidRPr="00467C54">
          <w:rPr>
            <w:rFonts w:asciiTheme="majorHAnsi" w:hAnsiTheme="majorHAnsi"/>
            <w:noProof/>
            <w:webHidden/>
          </w:rPr>
          <w:tab/>
        </w:r>
        <w:r w:rsidR="006F6711" w:rsidRPr="00467C54">
          <w:rPr>
            <w:rFonts w:asciiTheme="majorHAnsi" w:hAnsiTheme="majorHAnsi"/>
            <w:noProof/>
            <w:webHidden/>
          </w:rPr>
          <w:fldChar w:fldCharType="begin"/>
        </w:r>
        <w:r w:rsidR="00DA5D24" w:rsidRPr="00467C54">
          <w:rPr>
            <w:rFonts w:asciiTheme="majorHAnsi" w:hAnsiTheme="majorHAnsi"/>
            <w:noProof/>
            <w:webHidden/>
          </w:rPr>
          <w:instrText xml:space="preserve"> PAGEREF _Toc351130772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27</w:t>
        </w:r>
        <w:r w:rsidR="006F6711" w:rsidRPr="00467C54">
          <w:rPr>
            <w:rFonts w:asciiTheme="majorHAnsi" w:hAnsiTheme="majorHAnsi"/>
            <w:noProof/>
            <w:webHidden/>
          </w:rPr>
          <w:fldChar w:fldCharType="end"/>
        </w:r>
      </w:hyperlink>
    </w:p>
    <w:p w:rsidR="00DA5D24" w:rsidRPr="00467C54" w:rsidRDefault="00D367E2">
      <w:pPr>
        <w:pStyle w:val="TableofFigures"/>
        <w:tabs>
          <w:tab w:val="right" w:leader="dot" w:pos="9016"/>
        </w:tabs>
        <w:rPr>
          <w:rFonts w:asciiTheme="majorHAnsi" w:eastAsiaTheme="minorEastAsia" w:hAnsiTheme="majorHAnsi"/>
          <w:noProof/>
          <w:lang w:eastAsia="en-GB"/>
        </w:rPr>
      </w:pPr>
      <w:hyperlink w:anchor="_Toc351130773" w:history="1">
        <w:r w:rsidR="00DA5D24" w:rsidRPr="00467C54">
          <w:rPr>
            <w:rStyle w:val="Hyperlink"/>
            <w:rFonts w:asciiTheme="majorHAnsi" w:hAnsiTheme="majorHAnsi"/>
            <w:noProof/>
          </w:rPr>
          <w:t>Table 5. ANOVA by profession using item 29</w:t>
        </w:r>
        <w:r w:rsidR="00DA5D24" w:rsidRPr="00467C54">
          <w:rPr>
            <w:rFonts w:asciiTheme="majorHAnsi" w:hAnsiTheme="majorHAnsi"/>
            <w:noProof/>
            <w:webHidden/>
          </w:rPr>
          <w:tab/>
        </w:r>
        <w:r w:rsidR="006F6711" w:rsidRPr="00467C54">
          <w:rPr>
            <w:rFonts w:asciiTheme="majorHAnsi" w:hAnsiTheme="majorHAnsi"/>
            <w:noProof/>
            <w:webHidden/>
          </w:rPr>
          <w:fldChar w:fldCharType="begin"/>
        </w:r>
        <w:r w:rsidR="00DA5D24" w:rsidRPr="00467C54">
          <w:rPr>
            <w:rFonts w:asciiTheme="majorHAnsi" w:hAnsiTheme="majorHAnsi"/>
            <w:noProof/>
            <w:webHidden/>
          </w:rPr>
          <w:instrText xml:space="preserve"> PAGEREF _Toc351130773 \h </w:instrText>
        </w:r>
        <w:r w:rsidR="006F6711" w:rsidRPr="00467C54">
          <w:rPr>
            <w:rFonts w:asciiTheme="majorHAnsi" w:hAnsiTheme="majorHAnsi"/>
            <w:noProof/>
            <w:webHidden/>
          </w:rPr>
        </w:r>
        <w:r w:rsidR="006F6711" w:rsidRPr="00467C54">
          <w:rPr>
            <w:rFonts w:asciiTheme="majorHAnsi" w:hAnsiTheme="majorHAnsi"/>
            <w:noProof/>
            <w:webHidden/>
          </w:rPr>
          <w:fldChar w:fldCharType="separate"/>
        </w:r>
        <w:r w:rsidR="00D23377">
          <w:rPr>
            <w:rFonts w:asciiTheme="majorHAnsi" w:hAnsiTheme="majorHAnsi"/>
            <w:noProof/>
            <w:webHidden/>
          </w:rPr>
          <w:t>28</w:t>
        </w:r>
        <w:r w:rsidR="006F6711" w:rsidRPr="00467C54">
          <w:rPr>
            <w:rFonts w:asciiTheme="majorHAnsi" w:hAnsiTheme="majorHAnsi"/>
            <w:noProof/>
            <w:webHidden/>
          </w:rPr>
          <w:fldChar w:fldCharType="end"/>
        </w:r>
      </w:hyperlink>
    </w:p>
    <w:p w:rsidR="005A0156" w:rsidRPr="00467C54" w:rsidRDefault="006F6711" w:rsidP="005A0156">
      <w:pPr>
        <w:rPr>
          <w:rFonts w:asciiTheme="majorHAnsi" w:hAnsiTheme="majorHAnsi"/>
        </w:rPr>
        <w:sectPr w:rsidR="005A0156" w:rsidRPr="00467C54" w:rsidSect="00826013">
          <w:pgSz w:w="11906" w:h="16838"/>
          <w:pgMar w:top="1440" w:right="1440" w:bottom="1440" w:left="1440" w:header="708" w:footer="708" w:gutter="0"/>
          <w:cols w:space="708"/>
          <w:docGrid w:linePitch="360"/>
        </w:sectPr>
      </w:pPr>
      <w:r w:rsidRPr="00467C54">
        <w:rPr>
          <w:rFonts w:asciiTheme="majorHAnsi" w:hAnsiTheme="majorHAnsi"/>
        </w:rPr>
        <w:fldChar w:fldCharType="end"/>
      </w:r>
    </w:p>
    <w:p w:rsidR="00FB7A3C" w:rsidRPr="00467C54" w:rsidRDefault="00FB7A3C" w:rsidP="005A0156">
      <w:pPr>
        <w:pStyle w:val="Heading2"/>
      </w:pPr>
      <w:bookmarkStart w:id="1" w:name="_Toc351201873"/>
      <w:r w:rsidRPr="00467C54">
        <w:t>Executive summary</w:t>
      </w:r>
      <w:bookmarkEnd w:id="1"/>
      <w:r w:rsidR="00A41BB1" w:rsidRPr="00467C54">
        <w:t xml:space="preserve"> </w:t>
      </w:r>
    </w:p>
    <w:p w:rsidR="009E544C" w:rsidRPr="00467C54" w:rsidRDefault="009E544C" w:rsidP="005A0156">
      <w:pPr>
        <w:rPr>
          <w:rFonts w:asciiTheme="majorHAnsi" w:hAnsiTheme="majorHAnsi"/>
        </w:rPr>
      </w:pPr>
    </w:p>
    <w:p w:rsidR="007D01E4" w:rsidRPr="00467C54" w:rsidRDefault="007D01E4" w:rsidP="005A0156">
      <w:pPr>
        <w:rPr>
          <w:rFonts w:asciiTheme="majorHAnsi" w:hAnsiTheme="majorHAnsi"/>
          <w:i/>
        </w:rPr>
      </w:pPr>
      <w:r w:rsidRPr="00467C54">
        <w:rPr>
          <w:rFonts w:asciiTheme="majorHAnsi" w:hAnsiTheme="majorHAnsi"/>
          <w:i/>
        </w:rPr>
        <w:t>Background</w:t>
      </w:r>
    </w:p>
    <w:p w:rsidR="007D01E4" w:rsidRPr="00467C54" w:rsidRDefault="007D01E4" w:rsidP="005A0156">
      <w:pPr>
        <w:rPr>
          <w:rFonts w:asciiTheme="majorHAnsi" w:hAnsiTheme="majorHAnsi"/>
        </w:rPr>
      </w:pPr>
    </w:p>
    <w:p w:rsidR="00F67334" w:rsidRPr="00467C54" w:rsidRDefault="00F67334" w:rsidP="005A0156">
      <w:pPr>
        <w:rPr>
          <w:rFonts w:asciiTheme="majorHAnsi" w:hAnsiTheme="majorHAnsi"/>
        </w:rPr>
      </w:pPr>
      <w:r w:rsidRPr="00467C54">
        <w:rPr>
          <w:rFonts w:asciiTheme="majorHAnsi" w:hAnsiTheme="majorHAnsi"/>
        </w:rPr>
        <w:t xml:space="preserve">The NHS Scotland </w:t>
      </w:r>
      <w:r w:rsidR="00591EC7" w:rsidRPr="00467C54">
        <w:rPr>
          <w:rFonts w:asciiTheme="majorHAnsi" w:hAnsiTheme="majorHAnsi"/>
        </w:rPr>
        <w:t xml:space="preserve">Employee </w:t>
      </w:r>
      <w:r w:rsidRPr="00467C54">
        <w:rPr>
          <w:rFonts w:asciiTheme="majorHAnsi" w:hAnsiTheme="majorHAnsi"/>
        </w:rPr>
        <w:t>Engagement Index (N</w:t>
      </w:r>
      <w:r w:rsidR="009679A3" w:rsidRPr="00467C54">
        <w:rPr>
          <w:rFonts w:asciiTheme="majorHAnsi" w:hAnsiTheme="majorHAnsi"/>
        </w:rPr>
        <w:t xml:space="preserve">HSEEI) </w:t>
      </w:r>
      <w:r w:rsidR="00225904" w:rsidRPr="00467C54">
        <w:rPr>
          <w:rFonts w:asciiTheme="majorHAnsi" w:hAnsiTheme="majorHAnsi"/>
        </w:rPr>
        <w:t>is</w:t>
      </w:r>
      <w:r w:rsidR="009679A3" w:rsidRPr="00467C54">
        <w:rPr>
          <w:rFonts w:asciiTheme="majorHAnsi" w:hAnsiTheme="majorHAnsi"/>
        </w:rPr>
        <w:t xml:space="preserve"> a summary score</w:t>
      </w:r>
      <w:r w:rsidR="00D321C9" w:rsidRPr="00467C54">
        <w:rPr>
          <w:rFonts w:asciiTheme="majorHAnsi" w:hAnsiTheme="majorHAnsi"/>
        </w:rPr>
        <w:t xml:space="preserve"> presented as a percentage, derived</w:t>
      </w:r>
      <w:r w:rsidR="009679A3" w:rsidRPr="00467C54">
        <w:rPr>
          <w:rFonts w:asciiTheme="majorHAnsi" w:hAnsiTheme="majorHAnsi"/>
        </w:rPr>
        <w:t xml:space="preserve"> from</w:t>
      </w:r>
      <w:r w:rsidRPr="00467C54">
        <w:rPr>
          <w:rFonts w:asciiTheme="majorHAnsi" w:hAnsiTheme="majorHAnsi"/>
        </w:rPr>
        <w:t xml:space="preserve"> a 28 item questionnaire. I</w:t>
      </w:r>
      <w:r w:rsidR="009730A0" w:rsidRPr="00467C54">
        <w:rPr>
          <w:rFonts w:asciiTheme="majorHAnsi" w:hAnsiTheme="majorHAnsi"/>
        </w:rPr>
        <w:t>n line with current policy</w:t>
      </w:r>
      <w:r w:rsidR="00C8561A" w:rsidRPr="00467C54">
        <w:rPr>
          <w:rStyle w:val="FootnoteReference"/>
          <w:rFonts w:asciiTheme="majorHAnsi" w:hAnsiTheme="majorHAnsi"/>
        </w:rPr>
        <w:footnoteReference w:id="1"/>
      </w:r>
      <w:r w:rsidR="009730A0" w:rsidRPr="00467C54">
        <w:rPr>
          <w:rFonts w:asciiTheme="majorHAnsi" w:hAnsiTheme="majorHAnsi"/>
        </w:rPr>
        <w:t xml:space="preserve"> i</w:t>
      </w:r>
      <w:r w:rsidRPr="00467C54">
        <w:rPr>
          <w:rFonts w:asciiTheme="majorHAnsi" w:hAnsiTheme="majorHAnsi"/>
        </w:rPr>
        <w:t>t is designed to inform individ</w:t>
      </w:r>
      <w:r w:rsidR="009730A0" w:rsidRPr="00467C54">
        <w:rPr>
          <w:rFonts w:asciiTheme="majorHAnsi" w:hAnsiTheme="majorHAnsi"/>
        </w:rPr>
        <w:t>uals, teams and organisations about the degree of staff engagement</w:t>
      </w:r>
      <w:r w:rsidRPr="00467C54">
        <w:rPr>
          <w:rFonts w:asciiTheme="majorHAnsi" w:hAnsiTheme="majorHAnsi"/>
        </w:rPr>
        <w:t xml:space="preserve">. </w:t>
      </w:r>
      <w:r w:rsidR="009679A3" w:rsidRPr="00467C54">
        <w:rPr>
          <w:rFonts w:asciiTheme="majorHAnsi" w:hAnsiTheme="majorHAnsi"/>
        </w:rPr>
        <w:t>Built in conjunction with NHS</w:t>
      </w:r>
      <w:r w:rsidR="003D0D9F">
        <w:rPr>
          <w:rFonts w:asciiTheme="majorHAnsi" w:hAnsiTheme="majorHAnsi"/>
        </w:rPr>
        <w:t xml:space="preserve"> </w:t>
      </w:r>
      <w:r w:rsidR="009679A3" w:rsidRPr="00467C54">
        <w:rPr>
          <w:rFonts w:asciiTheme="majorHAnsi" w:hAnsiTheme="majorHAnsi"/>
        </w:rPr>
        <w:t>Scotland staff</w:t>
      </w:r>
      <w:r w:rsidR="00681847" w:rsidRPr="00467C54">
        <w:rPr>
          <w:rFonts w:asciiTheme="majorHAnsi" w:hAnsiTheme="majorHAnsi"/>
        </w:rPr>
        <w:t>,</w:t>
      </w:r>
      <w:r w:rsidR="009679A3" w:rsidRPr="00467C54">
        <w:rPr>
          <w:rFonts w:asciiTheme="majorHAnsi" w:hAnsiTheme="majorHAnsi"/>
        </w:rPr>
        <w:t xml:space="preserve"> </w:t>
      </w:r>
      <w:r w:rsidRPr="00467C54">
        <w:rPr>
          <w:rFonts w:asciiTheme="majorHAnsi" w:hAnsiTheme="majorHAnsi"/>
        </w:rPr>
        <w:t>Scotland is the only country in the world to be developing such a systematic</w:t>
      </w:r>
      <w:r w:rsidR="003D0D9F">
        <w:rPr>
          <w:rFonts w:asciiTheme="majorHAnsi" w:hAnsiTheme="majorHAnsi"/>
        </w:rPr>
        <w:t xml:space="preserve"> and systemic</w:t>
      </w:r>
      <w:r w:rsidRPr="00467C54">
        <w:rPr>
          <w:rFonts w:asciiTheme="majorHAnsi" w:hAnsiTheme="majorHAnsi"/>
        </w:rPr>
        <w:t xml:space="preserve"> measure</w:t>
      </w:r>
      <w:r w:rsidR="009679A3" w:rsidRPr="00467C54">
        <w:rPr>
          <w:rFonts w:asciiTheme="majorHAnsi" w:hAnsiTheme="majorHAnsi"/>
        </w:rPr>
        <w:t xml:space="preserve"> in </w:t>
      </w:r>
      <w:r w:rsidR="00225904" w:rsidRPr="00467C54">
        <w:rPr>
          <w:rFonts w:asciiTheme="majorHAnsi" w:hAnsiTheme="majorHAnsi"/>
        </w:rPr>
        <w:t>this</w:t>
      </w:r>
      <w:r w:rsidR="009679A3" w:rsidRPr="00467C54">
        <w:rPr>
          <w:rFonts w:asciiTheme="majorHAnsi" w:hAnsiTheme="majorHAnsi"/>
        </w:rPr>
        <w:t xml:space="preserve"> inclusive manner</w:t>
      </w:r>
      <w:r w:rsidRPr="00467C54">
        <w:rPr>
          <w:rFonts w:asciiTheme="majorHAnsi" w:hAnsiTheme="majorHAnsi"/>
        </w:rPr>
        <w:t xml:space="preserve">. </w:t>
      </w:r>
    </w:p>
    <w:p w:rsidR="009679A3" w:rsidRPr="00467C54" w:rsidRDefault="009679A3" w:rsidP="005A0156">
      <w:pPr>
        <w:rPr>
          <w:rFonts w:asciiTheme="majorHAnsi" w:hAnsiTheme="majorHAnsi"/>
        </w:rPr>
      </w:pPr>
    </w:p>
    <w:p w:rsidR="00F67334" w:rsidRPr="00467C54" w:rsidRDefault="00F67334" w:rsidP="005A0156">
      <w:pPr>
        <w:rPr>
          <w:rFonts w:asciiTheme="majorHAnsi" w:hAnsiTheme="majorHAnsi"/>
        </w:rPr>
      </w:pPr>
      <w:r w:rsidRPr="00467C54">
        <w:rPr>
          <w:rFonts w:asciiTheme="majorHAnsi" w:hAnsiTheme="majorHAnsi"/>
        </w:rPr>
        <w:t>The N</w:t>
      </w:r>
      <w:r w:rsidR="009679A3" w:rsidRPr="00467C54">
        <w:rPr>
          <w:rFonts w:asciiTheme="majorHAnsi" w:hAnsiTheme="majorHAnsi"/>
        </w:rPr>
        <w:t>H</w:t>
      </w:r>
      <w:r w:rsidRPr="00467C54">
        <w:rPr>
          <w:rFonts w:asciiTheme="majorHAnsi" w:hAnsiTheme="majorHAnsi"/>
        </w:rPr>
        <w:t>SEEI has been fine tuned over a series of pilots and val</w:t>
      </w:r>
      <w:r w:rsidR="004B6F21" w:rsidRPr="00467C54">
        <w:rPr>
          <w:rFonts w:asciiTheme="majorHAnsi" w:hAnsiTheme="majorHAnsi"/>
        </w:rPr>
        <w:t>idation events through 2011-2013</w:t>
      </w:r>
      <w:r w:rsidRPr="00467C54">
        <w:rPr>
          <w:rFonts w:asciiTheme="majorHAnsi" w:hAnsiTheme="majorHAnsi"/>
        </w:rPr>
        <w:t>. A sample of 160 NHS employees completed pilot 1. A sample of 247 completed pilot 2</w:t>
      </w:r>
      <w:r w:rsidR="00225904" w:rsidRPr="00467C54">
        <w:rPr>
          <w:rFonts w:asciiTheme="majorHAnsi" w:hAnsiTheme="majorHAnsi"/>
        </w:rPr>
        <w:t xml:space="preserve">. </w:t>
      </w:r>
      <w:r w:rsidR="00F1119D" w:rsidRPr="00467C54">
        <w:rPr>
          <w:rFonts w:asciiTheme="majorHAnsi" w:hAnsiTheme="majorHAnsi"/>
        </w:rPr>
        <w:t>This final report deta</w:t>
      </w:r>
      <w:r w:rsidR="00225904" w:rsidRPr="00467C54">
        <w:rPr>
          <w:rFonts w:asciiTheme="majorHAnsi" w:hAnsiTheme="majorHAnsi"/>
        </w:rPr>
        <w:t xml:space="preserve">ils the responses from pilot 3, consisting </w:t>
      </w:r>
      <w:r w:rsidR="00F1119D" w:rsidRPr="00467C54">
        <w:rPr>
          <w:rFonts w:asciiTheme="majorHAnsi" w:hAnsiTheme="majorHAnsi"/>
        </w:rPr>
        <w:t xml:space="preserve">of responses from 1,271 staff from </w:t>
      </w:r>
      <w:r w:rsidR="00F8290C" w:rsidRPr="00467C54">
        <w:rPr>
          <w:rFonts w:asciiTheme="majorHAnsi" w:hAnsiTheme="majorHAnsi"/>
        </w:rPr>
        <w:t xml:space="preserve">3 boards: </w:t>
      </w:r>
      <w:r w:rsidR="00225904" w:rsidRPr="00467C54">
        <w:rPr>
          <w:rFonts w:asciiTheme="majorHAnsi" w:hAnsiTheme="majorHAnsi"/>
        </w:rPr>
        <w:t>NHS Golden Jubilee, NHS Forth V</w:t>
      </w:r>
      <w:r w:rsidR="00F1119D" w:rsidRPr="00467C54">
        <w:rPr>
          <w:rFonts w:asciiTheme="majorHAnsi" w:hAnsiTheme="majorHAnsi"/>
        </w:rPr>
        <w:t>alley and NHS Tayside. As a result of this excellent sample size we can be confident the results presented here should be generalisable to all NHS</w:t>
      </w:r>
      <w:r w:rsidR="003D0D9F">
        <w:rPr>
          <w:rFonts w:asciiTheme="majorHAnsi" w:hAnsiTheme="majorHAnsi"/>
        </w:rPr>
        <w:t xml:space="preserve"> </w:t>
      </w:r>
      <w:r w:rsidR="00F1119D" w:rsidRPr="00467C54">
        <w:rPr>
          <w:rFonts w:asciiTheme="majorHAnsi" w:hAnsiTheme="majorHAnsi"/>
        </w:rPr>
        <w:t>Scotland employees.</w:t>
      </w:r>
    </w:p>
    <w:p w:rsidR="007D01E4" w:rsidRPr="00467C54" w:rsidRDefault="007D01E4" w:rsidP="005A0156">
      <w:pPr>
        <w:rPr>
          <w:rFonts w:asciiTheme="majorHAnsi" w:hAnsiTheme="majorHAnsi"/>
        </w:rPr>
      </w:pPr>
    </w:p>
    <w:p w:rsidR="009679A3" w:rsidRPr="00467C54" w:rsidRDefault="00D321C9" w:rsidP="005A0156">
      <w:pPr>
        <w:rPr>
          <w:rFonts w:asciiTheme="majorHAnsi" w:hAnsiTheme="majorHAnsi"/>
          <w:i/>
        </w:rPr>
      </w:pPr>
      <w:r w:rsidRPr="00467C54">
        <w:rPr>
          <w:rFonts w:asciiTheme="majorHAnsi" w:hAnsiTheme="majorHAnsi"/>
          <w:i/>
        </w:rPr>
        <w:t>The NHSEEI</w:t>
      </w:r>
    </w:p>
    <w:p w:rsidR="009679A3" w:rsidRPr="00467C54" w:rsidRDefault="009679A3" w:rsidP="005A0156">
      <w:pPr>
        <w:rPr>
          <w:rFonts w:asciiTheme="majorHAnsi" w:hAnsiTheme="majorHAnsi"/>
          <w:i/>
        </w:rPr>
      </w:pPr>
    </w:p>
    <w:p w:rsidR="00681847" w:rsidRPr="00467C54" w:rsidRDefault="009679A3" w:rsidP="005A0156">
      <w:pPr>
        <w:rPr>
          <w:rFonts w:asciiTheme="majorHAnsi" w:hAnsiTheme="majorHAnsi"/>
        </w:rPr>
      </w:pPr>
      <w:r w:rsidRPr="00467C54">
        <w:rPr>
          <w:rFonts w:asciiTheme="majorHAnsi" w:hAnsiTheme="majorHAnsi"/>
        </w:rPr>
        <w:t xml:space="preserve">The NHSEEI is generated from 28 </w:t>
      </w:r>
      <w:r w:rsidR="00681847" w:rsidRPr="00467C54">
        <w:rPr>
          <w:rFonts w:asciiTheme="majorHAnsi" w:hAnsiTheme="majorHAnsi"/>
        </w:rPr>
        <w:t>items relating to staff engagement</w:t>
      </w:r>
      <w:r w:rsidR="002D060C" w:rsidRPr="00467C54">
        <w:rPr>
          <w:rFonts w:asciiTheme="majorHAnsi" w:hAnsiTheme="majorHAnsi"/>
        </w:rPr>
        <w:t xml:space="preserve"> (Appendix 1)</w:t>
      </w:r>
      <w:r w:rsidR="00681847" w:rsidRPr="00467C54">
        <w:rPr>
          <w:rFonts w:asciiTheme="majorHAnsi" w:hAnsiTheme="majorHAnsi"/>
        </w:rPr>
        <w:t>. Each item has six Likert type responses: ‘Strongly Agree’, ‘Agree’, ‘Slightly Agree’, ‘Slightly Disagree’, ‘Disagree’, ‘Stron</w:t>
      </w:r>
      <w:r w:rsidR="0062633C" w:rsidRPr="00467C54">
        <w:rPr>
          <w:rFonts w:asciiTheme="majorHAnsi" w:hAnsiTheme="majorHAnsi"/>
        </w:rPr>
        <w:t>gly Disagree’. These responses we</w:t>
      </w:r>
      <w:r w:rsidR="00681847" w:rsidRPr="00467C54">
        <w:rPr>
          <w:rFonts w:asciiTheme="majorHAnsi" w:hAnsiTheme="majorHAnsi"/>
        </w:rPr>
        <w:t>re translated to a score for statistical analysis, with 6 for ‘Strongly Agree’ down to 1 for ‘Strongly Disagree’. The sum to</w:t>
      </w:r>
      <w:r w:rsidR="00D321C9" w:rsidRPr="00467C54">
        <w:rPr>
          <w:rFonts w:asciiTheme="majorHAnsi" w:hAnsiTheme="majorHAnsi"/>
        </w:rPr>
        <w:t xml:space="preserve">tal of these 28 item responses gives </w:t>
      </w:r>
      <w:r w:rsidR="00681847" w:rsidRPr="00467C54">
        <w:rPr>
          <w:rFonts w:asciiTheme="majorHAnsi" w:hAnsiTheme="majorHAnsi"/>
        </w:rPr>
        <w:t xml:space="preserve">a range of 28 – 168. </w:t>
      </w:r>
      <w:r w:rsidR="00D321C9" w:rsidRPr="00467C54">
        <w:rPr>
          <w:rFonts w:asciiTheme="majorHAnsi" w:hAnsiTheme="majorHAnsi"/>
        </w:rPr>
        <w:t>The NHSEEI is then presented as a percentage, representing the proportion of actual score in relation to the maximum possible score</w:t>
      </w:r>
      <w:r w:rsidR="002D060C" w:rsidRPr="00467C54">
        <w:rPr>
          <w:rFonts w:asciiTheme="majorHAnsi" w:hAnsiTheme="majorHAnsi"/>
        </w:rPr>
        <w:t>. NHSEEIs</w:t>
      </w:r>
      <w:r w:rsidR="00681847" w:rsidRPr="00467C54">
        <w:rPr>
          <w:rFonts w:asciiTheme="majorHAnsi" w:hAnsiTheme="majorHAnsi"/>
        </w:rPr>
        <w:t xml:space="preserve"> can subsequently be generated for </w:t>
      </w:r>
      <w:r w:rsidR="002D060C" w:rsidRPr="00467C54">
        <w:rPr>
          <w:rFonts w:asciiTheme="majorHAnsi" w:hAnsiTheme="majorHAnsi"/>
        </w:rPr>
        <w:t xml:space="preserve">any subsample, for example </w:t>
      </w:r>
      <w:r w:rsidR="00681847" w:rsidRPr="00467C54">
        <w:rPr>
          <w:rFonts w:asciiTheme="majorHAnsi" w:hAnsiTheme="majorHAnsi"/>
        </w:rPr>
        <w:t xml:space="preserve">professions, or teams, or board areas. This report has data for professions and so that is utilised as the </w:t>
      </w:r>
      <w:r w:rsidR="002D060C" w:rsidRPr="00467C54">
        <w:rPr>
          <w:rFonts w:asciiTheme="majorHAnsi" w:hAnsiTheme="majorHAnsi"/>
        </w:rPr>
        <w:t>unit of</w:t>
      </w:r>
      <w:r w:rsidR="00681847" w:rsidRPr="00467C54">
        <w:rPr>
          <w:rFonts w:asciiTheme="majorHAnsi" w:hAnsiTheme="majorHAnsi"/>
        </w:rPr>
        <w:t xml:space="preserve"> analysis here.</w:t>
      </w:r>
      <w:r w:rsidR="005D76A2" w:rsidRPr="00467C54">
        <w:rPr>
          <w:rFonts w:asciiTheme="majorHAnsi" w:hAnsiTheme="majorHAnsi"/>
        </w:rPr>
        <w:t xml:space="preserve"> </w:t>
      </w:r>
      <w:r w:rsidR="00681847" w:rsidRPr="00467C54">
        <w:rPr>
          <w:rFonts w:asciiTheme="majorHAnsi" w:hAnsiTheme="majorHAnsi"/>
        </w:rPr>
        <w:t>There is also a 29</w:t>
      </w:r>
      <w:r w:rsidR="00681847" w:rsidRPr="00467C54">
        <w:rPr>
          <w:rFonts w:asciiTheme="majorHAnsi" w:hAnsiTheme="majorHAnsi"/>
          <w:vertAlign w:val="superscript"/>
        </w:rPr>
        <w:t>th</w:t>
      </w:r>
      <w:r w:rsidR="00681847" w:rsidRPr="00467C54">
        <w:rPr>
          <w:rFonts w:asciiTheme="majorHAnsi" w:hAnsiTheme="majorHAnsi"/>
        </w:rPr>
        <w:t xml:space="preserve"> item</w:t>
      </w:r>
      <w:r w:rsidR="002D060C" w:rsidRPr="00467C54">
        <w:rPr>
          <w:rFonts w:asciiTheme="majorHAnsi" w:hAnsiTheme="majorHAnsi"/>
        </w:rPr>
        <w:t>:</w:t>
      </w:r>
      <w:r w:rsidR="00681847" w:rsidRPr="00467C54">
        <w:rPr>
          <w:rFonts w:asciiTheme="majorHAnsi" w:hAnsiTheme="majorHAnsi"/>
        </w:rPr>
        <w:t xml:space="preserve"> ‘</w:t>
      </w:r>
      <w:r w:rsidR="00681847" w:rsidRPr="00467C54">
        <w:rPr>
          <w:rFonts w:asciiTheme="majorHAnsi" w:hAnsiTheme="majorHAnsi"/>
          <w:i/>
        </w:rPr>
        <w:t xml:space="preserve">Overall working within my organisation is a: very good experience </w:t>
      </w:r>
      <w:r w:rsidR="00681847" w:rsidRPr="00467C54">
        <w:rPr>
          <w:rFonts w:asciiTheme="majorHAnsi" w:hAnsiTheme="majorHAnsi"/>
        </w:rPr>
        <w:t>(10 points)</w:t>
      </w:r>
      <w:r w:rsidR="00681847" w:rsidRPr="00467C54">
        <w:rPr>
          <w:rFonts w:asciiTheme="majorHAnsi" w:hAnsiTheme="majorHAnsi"/>
          <w:i/>
        </w:rPr>
        <w:t xml:space="preserve">…very poor experience’ </w:t>
      </w:r>
      <w:r w:rsidR="00681847" w:rsidRPr="00467C54">
        <w:rPr>
          <w:rFonts w:asciiTheme="majorHAnsi" w:hAnsiTheme="majorHAnsi"/>
        </w:rPr>
        <w:t>(0 points).</w:t>
      </w:r>
      <w:r w:rsidR="002D060C" w:rsidRPr="00467C54">
        <w:rPr>
          <w:rFonts w:asciiTheme="majorHAnsi" w:hAnsiTheme="majorHAnsi"/>
        </w:rPr>
        <w:t xml:space="preserve"> Response entails an 11 point sliding scale. </w:t>
      </w:r>
    </w:p>
    <w:p w:rsidR="00BE723E" w:rsidRPr="00467C54" w:rsidRDefault="00BE723E" w:rsidP="005A0156">
      <w:pPr>
        <w:rPr>
          <w:rFonts w:asciiTheme="majorHAnsi" w:hAnsiTheme="majorHAnsi"/>
        </w:rPr>
      </w:pPr>
    </w:p>
    <w:p w:rsidR="002D060C" w:rsidRPr="00467C54" w:rsidRDefault="002D060C" w:rsidP="005A0156">
      <w:pPr>
        <w:rPr>
          <w:rFonts w:asciiTheme="majorHAnsi" w:hAnsiTheme="majorHAnsi"/>
          <w:i/>
        </w:rPr>
      </w:pPr>
      <w:r w:rsidRPr="00467C54">
        <w:rPr>
          <w:rFonts w:asciiTheme="majorHAnsi" w:hAnsiTheme="majorHAnsi"/>
          <w:i/>
        </w:rPr>
        <w:t>Methods</w:t>
      </w:r>
    </w:p>
    <w:p w:rsidR="002D060C" w:rsidRPr="00467C54" w:rsidRDefault="002D060C" w:rsidP="005A0156">
      <w:pPr>
        <w:rPr>
          <w:rFonts w:asciiTheme="majorHAnsi" w:hAnsiTheme="majorHAnsi"/>
        </w:rPr>
      </w:pPr>
    </w:p>
    <w:p w:rsidR="00BE723E" w:rsidRPr="00467C54" w:rsidRDefault="002D060C" w:rsidP="005A0156">
      <w:pPr>
        <w:rPr>
          <w:rFonts w:asciiTheme="majorHAnsi" w:hAnsiTheme="majorHAnsi"/>
          <w:i/>
        </w:rPr>
      </w:pPr>
      <w:r w:rsidRPr="00467C54">
        <w:rPr>
          <w:rFonts w:asciiTheme="majorHAnsi" w:hAnsiTheme="majorHAnsi"/>
        </w:rPr>
        <w:t xml:space="preserve">The questionnaire was given to 2300 staff in electronic and paper form in Feb 2013. </w:t>
      </w:r>
      <w:r w:rsidR="00E378B5" w:rsidRPr="00467C54">
        <w:rPr>
          <w:rFonts w:asciiTheme="majorHAnsi" w:hAnsiTheme="majorHAnsi"/>
        </w:rPr>
        <w:t>Descriptives, factor analyses and Rasch analyses were conducted</w:t>
      </w:r>
      <w:r w:rsidRPr="00467C54">
        <w:rPr>
          <w:rFonts w:asciiTheme="majorHAnsi" w:hAnsiTheme="majorHAnsi"/>
        </w:rPr>
        <w:t xml:space="preserve"> to analyse response patterns and psychometric properties of NHSEEI</w:t>
      </w:r>
      <w:r w:rsidR="00E378B5" w:rsidRPr="00467C54">
        <w:rPr>
          <w:rFonts w:asciiTheme="majorHAnsi" w:hAnsiTheme="majorHAnsi"/>
        </w:rPr>
        <w:t xml:space="preserve">. </w:t>
      </w:r>
      <w:r w:rsidRPr="00467C54">
        <w:rPr>
          <w:rFonts w:asciiTheme="majorHAnsi" w:hAnsiTheme="majorHAnsi"/>
        </w:rPr>
        <w:t>T</w:t>
      </w:r>
      <w:r w:rsidR="00BE723E" w:rsidRPr="00467C54">
        <w:rPr>
          <w:rFonts w:asciiTheme="majorHAnsi" w:hAnsiTheme="majorHAnsi"/>
        </w:rPr>
        <w:t>hree focus groups were run in the participating boards to ascertain feedback.</w:t>
      </w:r>
    </w:p>
    <w:p w:rsidR="009679A3" w:rsidRPr="00467C54" w:rsidRDefault="009679A3" w:rsidP="005A0156">
      <w:pPr>
        <w:rPr>
          <w:rFonts w:asciiTheme="majorHAnsi" w:hAnsiTheme="majorHAnsi"/>
          <w:i/>
        </w:rPr>
      </w:pPr>
    </w:p>
    <w:p w:rsidR="007D01E4" w:rsidRPr="00467C54" w:rsidRDefault="007D01E4" w:rsidP="005A0156">
      <w:pPr>
        <w:rPr>
          <w:rFonts w:asciiTheme="majorHAnsi" w:hAnsiTheme="majorHAnsi"/>
          <w:i/>
        </w:rPr>
      </w:pPr>
      <w:r w:rsidRPr="00467C54">
        <w:rPr>
          <w:rFonts w:asciiTheme="majorHAnsi" w:hAnsiTheme="majorHAnsi"/>
          <w:i/>
        </w:rPr>
        <w:t>Results</w:t>
      </w:r>
    </w:p>
    <w:p w:rsidR="007D01E4" w:rsidRPr="00467C54" w:rsidRDefault="007D01E4" w:rsidP="005A0156">
      <w:pPr>
        <w:rPr>
          <w:rFonts w:asciiTheme="majorHAnsi" w:hAnsiTheme="majorHAnsi"/>
        </w:rPr>
      </w:pPr>
    </w:p>
    <w:p w:rsidR="007D01E4" w:rsidRPr="00467C54" w:rsidRDefault="004E6E1F" w:rsidP="005A0156">
      <w:pPr>
        <w:pStyle w:val="ListParagraph"/>
        <w:numPr>
          <w:ilvl w:val="0"/>
          <w:numId w:val="26"/>
        </w:numPr>
        <w:rPr>
          <w:rFonts w:asciiTheme="majorHAnsi" w:hAnsiTheme="majorHAnsi"/>
        </w:rPr>
      </w:pPr>
      <w:r w:rsidRPr="00467C54">
        <w:rPr>
          <w:rFonts w:asciiTheme="majorHAnsi" w:hAnsiTheme="majorHAnsi"/>
        </w:rPr>
        <w:t>1271</w:t>
      </w:r>
      <w:r w:rsidR="007D01E4" w:rsidRPr="00467C54">
        <w:rPr>
          <w:rFonts w:asciiTheme="majorHAnsi" w:hAnsiTheme="majorHAnsi"/>
        </w:rPr>
        <w:t xml:space="preserve"> staff responded to the survey, a return rate over 56%. This is more than twice the return rate on the 2010</w:t>
      </w:r>
      <w:r w:rsidR="003D0D9F">
        <w:rPr>
          <w:rFonts w:asciiTheme="majorHAnsi" w:hAnsiTheme="majorHAnsi"/>
        </w:rPr>
        <w:t xml:space="preserve"> National Staff S</w:t>
      </w:r>
      <w:r w:rsidR="007D01E4" w:rsidRPr="00467C54">
        <w:rPr>
          <w:rFonts w:asciiTheme="majorHAnsi" w:hAnsiTheme="majorHAnsi"/>
        </w:rPr>
        <w:t>urvey</w:t>
      </w:r>
    </w:p>
    <w:p w:rsidR="009679A3" w:rsidRPr="00467C54" w:rsidRDefault="009679A3" w:rsidP="005A0156">
      <w:pPr>
        <w:rPr>
          <w:rFonts w:asciiTheme="majorHAnsi" w:hAnsiTheme="majorHAnsi"/>
        </w:rPr>
      </w:pPr>
    </w:p>
    <w:p w:rsidR="009679A3" w:rsidRPr="00467C54" w:rsidRDefault="009679A3" w:rsidP="005A0156">
      <w:pPr>
        <w:pStyle w:val="ListParagraph"/>
        <w:numPr>
          <w:ilvl w:val="0"/>
          <w:numId w:val="26"/>
        </w:numPr>
        <w:rPr>
          <w:rFonts w:asciiTheme="majorHAnsi" w:hAnsiTheme="majorHAnsi"/>
        </w:rPr>
      </w:pPr>
      <w:r w:rsidRPr="00467C54">
        <w:rPr>
          <w:rFonts w:asciiTheme="majorHAnsi" w:hAnsiTheme="majorHAnsi"/>
        </w:rPr>
        <w:t xml:space="preserve">According to both </w:t>
      </w:r>
      <w:r w:rsidR="002D060C" w:rsidRPr="00467C54">
        <w:rPr>
          <w:rFonts w:asciiTheme="majorHAnsi" w:hAnsiTheme="majorHAnsi"/>
        </w:rPr>
        <w:t xml:space="preserve">mean </w:t>
      </w:r>
      <w:r w:rsidRPr="00467C54">
        <w:rPr>
          <w:rFonts w:asciiTheme="majorHAnsi" w:hAnsiTheme="majorHAnsi"/>
        </w:rPr>
        <w:t xml:space="preserve">NHSEEI </w:t>
      </w:r>
      <w:r w:rsidR="002D060C" w:rsidRPr="00467C54">
        <w:rPr>
          <w:rFonts w:asciiTheme="majorHAnsi" w:hAnsiTheme="majorHAnsi"/>
        </w:rPr>
        <w:t xml:space="preserve">(%) </w:t>
      </w:r>
      <w:r w:rsidRPr="00467C54">
        <w:rPr>
          <w:rFonts w:asciiTheme="majorHAnsi" w:hAnsiTheme="majorHAnsi"/>
        </w:rPr>
        <w:t xml:space="preserve">and item 29 the most </w:t>
      </w:r>
      <w:r w:rsidR="00EA0B70" w:rsidRPr="00467C54">
        <w:rPr>
          <w:rFonts w:asciiTheme="majorHAnsi" w:hAnsiTheme="majorHAnsi"/>
        </w:rPr>
        <w:t>engaged</w:t>
      </w:r>
      <w:r w:rsidRPr="00467C54">
        <w:rPr>
          <w:rFonts w:asciiTheme="majorHAnsi" w:hAnsiTheme="majorHAnsi"/>
        </w:rPr>
        <w:t xml:space="preserve"> profession were the managers</w:t>
      </w:r>
      <w:r w:rsidR="009E14B8" w:rsidRPr="00467C54">
        <w:rPr>
          <w:rFonts w:asciiTheme="majorHAnsi" w:hAnsiTheme="majorHAnsi"/>
        </w:rPr>
        <w:t xml:space="preserve"> (77% on NHSEEI)</w:t>
      </w:r>
      <w:r w:rsidRPr="00467C54">
        <w:rPr>
          <w:rFonts w:asciiTheme="majorHAnsi" w:hAnsiTheme="majorHAnsi"/>
        </w:rPr>
        <w:t xml:space="preserve">. The </w:t>
      </w:r>
      <w:r w:rsidR="009E14B8" w:rsidRPr="00467C54">
        <w:rPr>
          <w:rFonts w:asciiTheme="majorHAnsi" w:hAnsiTheme="majorHAnsi"/>
        </w:rPr>
        <w:t>least engaged</w:t>
      </w:r>
      <w:r w:rsidRPr="00467C54">
        <w:rPr>
          <w:rFonts w:asciiTheme="majorHAnsi" w:hAnsiTheme="majorHAnsi"/>
        </w:rPr>
        <w:t xml:space="preserve"> were support services</w:t>
      </w:r>
      <w:r w:rsidR="009E14B8" w:rsidRPr="00467C54">
        <w:rPr>
          <w:rFonts w:asciiTheme="majorHAnsi" w:hAnsiTheme="majorHAnsi"/>
        </w:rPr>
        <w:t xml:space="preserve"> but they still scored average 62%</w:t>
      </w:r>
      <w:r w:rsidRPr="00467C54">
        <w:rPr>
          <w:rFonts w:asciiTheme="majorHAnsi" w:hAnsiTheme="majorHAnsi"/>
        </w:rPr>
        <w:t xml:space="preserve">. </w:t>
      </w:r>
      <w:r w:rsidR="0062633C" w:rsidRPr="00467C54">
        <w:rPr>
          <w:rFonts w:asciiTheme="majorHAnsi" w:hAnsiTheme="majorHAnsi"/>
        </w:rPr>
        <w:t>Mean overall response equated to 69%, consistent with the Likert category ‘Agree’.</w:t>
      </w:r>
    </w:p>
    <w:p w:rsidR="00EA0B70" w:rsidRPr="00467C54" w:rsidRDefault="00EA0B70" w:rsidP="00EA0B70">
      <w:pPr>
        <w:rPr>
          <w:rFonts w:asciiTheme="majorHAnsi" w:hAnsiTheme="majorHAnsi"/>
        </w:rPr>
      </w:pPr>
    </w:p>
    <w:p w:rsidR="009679A3" w:rsidRPr="00467C54" w:rsidRDefault="009679A3" w:rsidP="005A0156">
      <w:pPr>
        <w:pStyle w:val="ListParagraph"/>
        <w:numPr>
          <w:ilvl w:val="0"/>
          <w:numId w:val="28"/>
        </w:numPr>
        <w:rPr>
          <w:rFonts w:asciiTheme="majorHAnsi" w:hAnsiTheme="majorHAnsi"/>
        </w:rPr>
      </w:pPr>
      <w:r w:rsidRPr="00467C54">
        <w:rPr>
          <w:rFonts w:asciiTheme="majorHAnsi" w:hAnsiTheme="majorHAnsi"/>
        </w:rPr>
        <w:t xml:space="preserve">The four main factors established through principal component </w:t>
      </w:r>
      <w:r w:rsidR="00687D3D" w:rsidRPr="00467C54">
        <w:rPr>
          <w:rFonts w:asciiTheme="majorHAnsi" w:hAnsiTheme="majorHAnsi"/>
        </w:rPr>
        <w:t>analysis</w:t>
      </w:r>
      <w:r w:rsidRPr="00467C54">
        <w:rPr>
          <w:rFonts w:asciiTheme="majorHAnsi" w:hAnsiTheme="majorHAnsi"/>
        </w:rPr>
        <w:t xml:space="preserve"> mirrored the structure of the questionnaire:</w:t>
      </w:r>
    </w:p>
    <w:p w:rsidR="009679A3" w:rsidRPr="00467C54" w:rsidRDefault="009679A3" w:rsidP="005A0156">
      <w:pPr>
        <w:pStyle w:val="ListParagraph"/>
        <w:rPr>
          <w:rFonts w:asciiTheme="majorHAnsi" w:hAnsiTheme="majorHAnsi"/>
        </w:rPr>
      </w:pPr>
    </w:p>
    <w:p w:rsidR="009679A3" w:rsidRPr="00467C54" w:rsidRDefault="009679A3" w:rsidP="005A0156">
      <w:pPr>
        <w:pStyle w:val="ListParagraph"/>
        <w:numPr>
          <w:ilvl w:val="0"/>
          <w:numId w:val="29"/>
        </w:numPr>
        <w:rPr>
          <w:rFonts w:asciiTheme="majorHAnsi" w:hAnsiTheme="majorHAnsi"/>
        </w:rPr>
      </w:pPr>
      <w:r w:rsidRPr="00467C54">
        <w:rPr>
          <w:rFonts w:asciiTheme="majorHAnsi" w:hAnsiTheme="majorHAnsi"/>
        </w:rPr>
        <w:t>My experience as an individual</w:t>
      </w:r>
    </w:p>
    <w:p w:rsidR="009679A3" w:rsidRPr="00467C54" w:rsidRDefault="009679A3" w:rsidP="005A0156">
      <w:pPr>
        <w:pStyle w:val="ListParagraph"/>
        <w:numPr>
          <w:ilvl w:val="0"/>
          <w:numId w:val="29"/>
        </w:numPr>
        <w:rPr>
          <w:rFonts w:asciiTheme="majorHAnsi" w:hAnsiTheme="majorHAnsi"/>
        </w:rPr>
      </w:pPr>
      <w:r w:rsidRPr="00467C54">
        <w:rPr>
          <w:rFonts w:asciiTheme="majorHAnsi" w:hAnsiTheme="majorHAnsi"/>
        </w:rPr>
        <w:t>My experience with my direct line manager</w:t>
      </w:r>
    </w:p>
    <w:p w:rsidR="009679A3" w:rsidRPr="00467C54" w:rsidRDefault="009679A3" w:rsidP="005A0156">
      <w:pPr>
        <w:pStyle w:val="ListParagraph"/>
        <w:numPr>
          <w:ilvl w:val="0"/>
          <w:numId w:val="29"/>
        </w:numPr>
        <w:rPr>
          <w:rFonts w:asciiTheme="majorHAnsi" w:hAnsiTheme="majorHAnsi"/>
        </w:rPr>
      </w:pPr>
      <w:r w:rsidRPr="00467C54">
        <w:rPr>
          <w:rFonts w:asciiTheme="majorHAnsi" w:hAnsiTheme="majorHAnsi"/>
        </w:rPr>
        <w:t>My experience with my team</w:t>
      </w:r>
    </w:p>
    <w:p w:rsidR="009679A3" w:rsidRPr="00467C54" w:rsidRDefault="009679A3" w:rsidP="005A0156">
      <w:pPr>
        <w:pStyle w:val="ListParagraph"/>
        <w:numPr>
          <w:ilvl w:val="0"/>
          <w:numId w:val="29"/>
        </w:numPr>
        <w:rPr>
          <w:rFonts w:asciiTheme="majorHAnsi" w:hAnsiTheme="majorHAnsi"/>
        </w:rPr>
      </w:pPr>
      <w:r w:rsidRPr="00467C54">
        <w:rPr>
          <w:rFonts w:asciiTheme="majorHAnsi" w:hAnsiTheme="majorHAnsi"/>
        </w:rPr>
        <w:t>My experience with my organisation</w:t>
      </w:r>
    </w:p>
    <w:p w:rsidR="009679A3" w:rsidRPr="00467C54" w:rsidRDefault="009679A3" w:rsidP="005A0156">
      <w:pPr>
        <w:rPr>
          <w:rFonts w:asciiTheme="majorHAnsi" w:hAnsiTheme="majorHAnsi"/>
        </w:rPr>
      </w:pPr>
    </w:p>
    <w:p w:rsidR="009679A3" w:rsidRPr="00467C54" w:rsidRDefault="009679A3" w:rsidP="005A0156">
      <w:pPr>
        <w:pStyle w:val="ListParagraph"/>
        <w:numPr>
          <w:ilvl w:val="0"/>
          <w:numId w:val="32"/>
        </w:numPr>
        <w:rPr>
          <w:rFonts w:asciiTheme="majorHAnsi" w:hAnsiTheme="majorHAnsi"/>
        </w:rPr>
      </w:pPr>
      <w:r w:rsidRPr="00467C54">
        <w:rPr>
          <w:rFonts w:asciiTheme="majorHAnsi" w:hAnsiTheme="majorHAnsi"/>
        </w:rPr>
        <w:t xml:space="preserve">Factor analysis is </w:t>
      </w:r>
      <w:r w:rsidR="00687D3D" w:rsidRPr="00467C54">
        <w:rPr>
          <w:rFonts w:asciiTheme="majorHAnsi" w:hAnsiTheme="majorHAnsi"/>
        </w:rPr>
        <w:t xml:space="preserve">therefore </w:t>
      </w:r>
      <w:r w:rsidRPr="00467C54">
        <w:rPr>
          <w:rFonts w:asciiTheme="majorHAnsi" w:hAnsiTheme="majorHAnsi"/>
        </w:rPr>
        <w:t>best explained by the item placement wi</w:t>
      </w:r>
      <w:r w:rsidR="00A01C50" w:rsidRPr="00467C54">
        <w:rPr>
          <w:rFonts w:asciiTheme="majorHAnsi" w:hAnsiTheme="majorHAnsi"/>
        </w:rPr>
        <w:t xml:space="preserve">thin the questionnaire. Because of substantial variance in the response patterns </w:t>
      </w:r>
      <w:r w:rsidR="0062633C" w:rsidRPr="00467C54">
        <w:rPr>
          <w:rFonts w:asciiTheme="majorHAnsi" w:hAnsiTheme="majorHAnsi"/>
        </w:rPr>
        <w:t xml:space="preserve">and the strong theoretical co-construction of the NHSEEI </w:t>
      </w:r>
      <w:r w:rsidR="00A01C50" w:rsidRPr="00467C54">
        <w:rPr>
          <w:rFonts w:asciiTheme="majorHAnsi" w:hAnsiTheme="majorHAnsi"/>
        </w:rPr>
        <w:t>this is interpreted as</w:t>
      </w:r>
      <w:r w:rsidR="00687D3D" w:rsidRPr="00467C54">
        <w:rPr>
          <w:rFonts w:asciiTheme="majorHAnsi" w:hAnsiTheme="majorHAnsi"/>
        </w:rPr>
        <w:t xml:space="preserve"> a function of the questionnaire’s reliability.</w:t>
      </w:r>
    </w:p>
    <w:p w:rsidR="009679A3" w:rsidRPr="00467C54" w:rsidRDefault="009679A3" w:rsidP="005A0156">
      <w:pPr>
        <w:pStyle w:val="ListParagraph"/>
        <w:rPr>
          <w:rFonts w:asciiTheme="majorHAnsi" w:hAnsiTheme="majorHAnsi"/>
        </w:rPr>
      </w:pPr>
    </w:p>
    <w:p w:rsidR="002D060C" w:rsidRPr="00467C54" w:rsidRDefault="009679A3"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Rasch analysis showed the</w:t>
      </w:r>
      <w:r w:rsidR="002D060C" w:rsidRPr="00467C54">
        <w:rPr>
          <w:rFonts w:asciiTheme="majorHAnsi" w:eastAsia="Times New Roman" w:hAnsiTheme="majorHAnsi" w:cs="Calibri"/>
          <w:color w:val="000000"/>
          <w:lang w:eastAsia="en-GB"/>
        </w:rPr>
        <w:t>re was a good range of item difficulty, which means the NHSEEI is a broad and inclusive measure of staff engagement.</w:t>
      </w:r>
    </w:p>
    <w:p w:rsidR="002D060C" w:rsidRPr="00467C54" w:rsidRDefault="002D060C" w:rsidP="002D060C">
      <w:pPr>
        <w:pStyle w:val="ListParagraph"/>
        <w:rPr>
          <w:rFonts w:asciiTheme="majorHAnsi" w:eastAsia="Times New Roman" w:hAnsiTheme="majorHAnsi" w:cs="Calibri"/>
          <w:color w:val="000000"/>
          <w:lang w:eastAsia="en-GB"/>
        </w:rPr>
      </w:pPr>
    </w:p>
    <w:p w:rsidR="009679A3" w:rsidRPr="00467C54" w:rsidRDefault="009679A3"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 </w:t>
      </w:r>
      <w:r w:rsidR="00A01C50" w:rsidRPr="00467C54">
        <w:rPr>
          <w:rFonts w:asciiTheme="majorHAnsi" w:eastAsia="Times New Roman" w:hAnsiTheme="majorHAnsi" w:cs="Calibri"/>
          <w:color w:val="000000"/>
          <w:lang w:eastAsia="en-GB"/>
        </w:rPr>
        <w:t xml:space="preserve">The </w:t>
      </w:r>
      <w:r w:rsidRPr="00467C54">
        <w:rPr>
          <w:rFonts w:asciiTheme="majorHAnsi" w:eastAsia="Times New Roman" w:hAnsiTheme="majorHAnsi" w:cs="Calibri"/>
          <w:color w:val="000000"/>
          <w:lang w:eastAsia="en-GB"/>
        </w:rPr>
        <w:t xml:space="preserve">majority of </w:t>
      </w:r>
      <w:r w:rsidR="00687D3D" w:rsidRPr="00467C54">
        <w:rPr>
          <w:rFonts w:asciiTheme="majorHAnsi" w:eastAsia="Times New Roman" w:hAnsiTheme="majorHAnsi" w:cs="Calibri"/>
          <w:color w:val="000000"/>
          <w:lang w:eastAsia="en-GB"/>
        </w:rPr>
        <w:t xml:space="preserve">the 28 </w:t>
      </w:r>
      <w:r w:rsidRPr="00467C54">
        <w:rPr>
          <w:rFonts w:asciiTheme="majorHAnsi" w:eastAsia="Times New Roman" w:hAnsiTheme="majorHAnsi" w:cs="Calibri"/>
          <w:color w:val="000000"/>
          <w:lang w:eastAsia="en-GB"/>
        </w:rPr>
        <w:t>items fit the model of staff engagement very well with the following exceptions:</w:t>
      </w:r>
    </w:p>
    <w:p w:rsidR="009679A3" w:rsidRPr="00467C54" w:rsidRDefault="009679A3" w:rsidP="005A0156">
      <w:pPr>
        <w:ind w:left="360"/>
        <w:rPr>
          <w:rFonts w:asciiTheme="majorHAnsi" w:eastAsia="Times New Roman" w:hAnsiTheme="majorHAnsi" w:cs="Calibri"/>
          <w:color w:val="000000"/>
          <w:lang w:eastAsia="en-GB"/>
        </w:rPr>
      </w:pPr>
    </w:p>
    <w:p w:rsidR="009679A3" w:rsidRPr="00467C54" w:rsidRDefault="009679A3" w:rsidP="00A01C50">
      <w:pPr>
        <w:pStyle w:val="ListParagraph"/>
        <w:numPr>
          <w:ilvl w:val="0"/>
          <w:numId w:val="26"/>
        </w:numPr>
        <w:ind w:left="1440"/>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Th</w:t>
      </w:r>
      <w:r w:rsidR="00A01C50" w:rsidRPr="00467C54">
        <w:rPr>
          <w:rFonts w:asciiTheme="majorHAnsi" w:eastAsia="Times New Roman" w:hAnsiTheme="majorHAnsi" w:cs="Calibri"/>
          <w:color w:val="000000"/>
          <w:lang w:eastAsia="en-GB"/>
        </w:rPr>
        <w:t>e reversed items</w:t>
      </w:r>
      <w:r w:rsidR="00687D3D" w:rsidRPr="00467C54">
        <w:rPr>
          <w:rFonts w:asciiTheme="majorHAnsi" w:eastAsia="Times New Roman" w:hAnsiTheme="majorHAnsi" w:cs="Calibri"/>
          <w:color w:val="000000"/>
          <w:lang w:eastAsia="en-GB"/>
        </w:rPr>
        <w:t xml:space="preserve"> did</w:t>
      </w:r>
      <w:r w:rsidRPr="00467C54">
        <w:rPr>
          <w:rFonts w:asciiTheme="majorHAnsi" w:eastAsia="Times New Roman" w:hAnsiTheme="majorHAnsi" w:cs="Calibri"/>
          <w:color w:val="000000"/>
          <w:lang w:eastAsia="en-GB"/>
        </w:rPr>
        <w:t xml:space="preserve"> not fit the model</w:t>
      </w:r>
      <w:r w:rsidR="00A01C50" w:rsidRPr="00467C54">
        <w:rPr>
          <w:rFonts w:asciiTheme="majorHAnsi" w:eastAsia="Times New Roman" w:hAnsiTheme="majorHAnsi" w:cs="Calibri"/>
          <w:color w:val="000000"/>
          <w:lang w:eastAsia="en-GB"/>
        </w:rPr>
        <w:t xml:space="preserve">, and six items were a </w:t>
      </w:r>
      <w:r w:rsidR="00DA5D24" w:rsidRPr="00467C54">
        <w:rPr>
          <w:rFonts w:asciiTheme="majorHAnsi" w:eastAsia="Times New Roman" w:hAnsiTheme="majorHAnsi" w:cs="Calibri"/>
          <w:color w:val="000000"/>
          <w:lang w:eastAsia="en-GB"/>
        </w:rPr>
        <w:t>borderline</w:t>
      </w:r>
      <w:r w:rsidR="00A01C50" w:rsidRPr="00467C54">
        <w:rPr>
          <w:rFonts w:asciiTheme="majorHAnsi" w:eastAsia="Times New Roman" w:hAnsiTheme="majorHAnsi" w:cs="Calibri"/>
          <w:color w:val="000000"/>
          <w:lang w:eastAsia="en-GB"/>
        </w:rPr>
        <w:t xml:space="preserve"> fit. Factor analysis accounted</w:t>
      </w:r>
      <w:r w:rsidRPr="00467C54">
        <w:rPr>
          <w:rFonts w:asciiTheme="majorHAnsi" w:eastAsia="Times New Roman" w:hAnsiTheme="majorHAnsi" w:cs="Calibri"/>
          <w:color w:val="000000"/>
          <w:lang w:eastAsia="en-GB"/>
        </w:rPr>
        <w:t xml:space="preserve"> for the </w:t>
      </w:r>
      <w:r w:rsidR="00DA5D24" w:rsidRPr="00467C54">
        <w:rPr>
          <w:rFonts w:asciiTheme="majorHAnsi" w:eastAsia="Times New Roman" w:hAnsiTheme="majorHAnsi" w:cs="Calibri"/>
          <w:color w:val="000000"/>
          <w:lang w:eastAsia="en-GB"/>
        </w:rPr>
        <w:t>borderline</w:t>
      </w:r>
      <w:r w:rsidR="00A01C50" w:rsidRPr="00467C54">
        <w:rPr>
          <w:rFonts w:asciiTheme="majorHAnsi" w:eastAsia="Times New Roman" w:hAnsiTheme="majorHAnsi" w:cs="Calibri"/>
          <w:color w:val="000000"/>
          <w:lang w:eastAsia="en-GB"/>
        </w:rPr>
        <w:t xml:space="preserve"> items but not the</w:t>
      </w:r>
      <w:r w:rsidRPr="00467C54">
        <w:rPr>
          <w:rFonts w:asciiTheme="majorHAnsi" w:eastAsia="Times New Roman" w:hAnsiTheme="majorHAnsi" w:cs="Calibri"/>
          <w:color w:val="000000"/>
          <w:lang w:eastAsia="en-GB"/>
        </w:rPr>
        <w:t xml:space="preserve"> reverse items. These </w:t>
      </w:r>
      <w:r w:rsidR="00A01C50" w:rsidRPr="00467C54">
        <w:rPr>
          <w:rFonts w:asciiTheme="majorHAnsi" w:eastAsia="Times New Roman" w:hAnsiTheme="majorHAnsi" w:cs="Calibri"/>
          <w:color w:val="000000"/>
          <w:lang w:eastAsia="en-GB"/>
        </w:rPr>
        <w:t xml:space="preserve">reverse items </w:t>
      </w:r>
      <w:r w:rsidRPr="00467C54">
        <w:rPr>
          <w:rFonts w:asciiTheme="majorHAnsi" w:eastAsia="Times New Roman" w:hAnsiTheme="majorHAnsi" w:cs="Calibri"/>
          <w:color w:val="000000"/>
          <w:lang w:eastAsia="en-GB"/>
        </w:rPr>
        <w:t xml:space="preserve">should </w:t>
      </w:r>
      <w:r w:rsidR="00A01C50" w:rsidRPr="00467C54">
        <w:rPr>
          <w:rFonts w:asciiTheme="majorHAnsi" w:eastAsia="Times New Roman" w:hAnsiTheme="majorHAnsi" w:cs="Calibri"/>
          <w:color w:val="000000"/>
          <w:lang w:eastAsia="en-GB"/>
        </w:rPr>
        <w:t xml:space="preserve">therefore </w:t>
      </w:r>
      <w:r w:rsidRPr="00467C54">
        <w:rPr>
          <w:rFonts w:asciiTheme="majorHAnsi" w:eastAsia="Times New Roman" w:hAnsiTheme="majorHAnsi" w:cs="Calibri"/>
          <w:color w:val="000000"/>
          <w:lang w:eastAsia="en-GB"/>
        </w:rPr>
        <w:t>be amended.</w:t>
      </w:r>
    </w:p>
    <w:p w:rsidR="009679A3" w:rsidRPr="00467C54" w:rsidRDefault="009679A3" w:rsidP="005A0156">
      <w:pPr>
        <w:rPr>
          <w:rFonts w:asciiTheme="majorHAnsi" w:eastAsia="Times New Roman" w:hAnsiTheme="majorHAnsi" w:cs="Calibri"/>
          <w:color w:val="000000"/>
          <w:lang w:eastAsia="en-GB"/>
        </w:rPr>
      </w:pPr>
    </w:p>
    <w:p w:rsidR="009679A3" w:rsidRPr="00467C54" w:rsidRDefault="00A01C50"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Overall</w:t>
      </w:r>
      <w:r w:rsidR="009679A3" w:rsidRPr="00467C54">
        <w:rPr>
          <w:rFonts w:asciiTheme="majorHAnsi" w:eastAsia="Times New Roman" w:hAnsiTheme="majorHAnsi" w:cs="Calibri"/>
          <w:color w:val="000000"/>
          <w:lang w:eastAsia="en-GB"/>
        </w:rPr>
        <w:t xml:space="preserve"> the</w:t>
      </w:r>
      <w:r w:rsidRPr="00467C54">
        <w:rPr>
          <w:rFonts w:asciiTheme="majorHAnsi" w:eastAsia="Times New Roman" w:hAnsiTheme="majorHAnsi" w:cs="Calibri"/>
          <w:color w:val="000000"/>
          <w:lang w:eastAsia="en-GB"/>
        </w:rPr>
        <w:t xml:space="preserve"> 28</w:t>
      </w:r>
      <w:r w:rsidR="009679A3" w:rsidRPr="00467C54">
        <w:rPr>
          <w:rFonts w:asciiTheme="majorHAnsi" w:eastAsia="Times New Roman" w:hAnsiTheme="majorHAnsi" w:cs="Calibri"/>
          <w:color w:val="000000"/>
          <w:lang w:eastAsia="en-GB"/>
        </w:rPr>
        <w:t xml:space="preserve"> items show enough variation to contribute uniquely to the overall construct </w:t>
      </w:r>
      <w:r w:rsidR="00E378B5" w:rsidRPr="00467C54">
        <w:rPr>
          <w:rFonts w:asciiTheme="majorHAnsi" w:eastAsia="Times New Roman" w:hAnsiTheme="majorHAnsi" w:cs="Calibri"/>
          <w:color w:val="000000"/>
          <w:lang w:eastAsia="en-GB"/>
        </w:rPr>
        <w:t xml:space="preserve">and measurement </w:t>
      </w:r>
      <w:r w:rsidR="009679A3" w:rsidRPr="00467C54">
        <w:rPr>
          <w:rFonts w:asciiTheme="majorHAnsi" w:eastAsia="Times New Roman" w:hAnsiTheme="majorHAnsi" w:cs="Calibri"/>
          <w:color w:val="000000"/>
          <w:lang w:eastAsia="en-GB"/>
        </w:rPr>
        <w:t>of staff engagement.</w:t>
      </w:r>
    </w:p>
    <w:p w:rsidR="00A01C50" w:rsidRPr="00467C54" w:rsidRDefault="00A01C50" w:rsidP="00A01C50">
      <w:pPr>
        <w:pStyle w:val="ListParagraph"/>
        <w:rPr>
          <w:rFonts w:asciiTheme="majorHAnsi" w:eastAsia="Times New Roman" w:hAnsiTheme="majorHAnsi" w:cs="Calibri"/>
          <w:color w:val="000000"/>
          <w:lang w:eastAsia="en-GB"/>
        </w:rPr>
      </w:pPr>
    </w:p>
    <w:p w:rsidR="00A01C50" w:rsidRPr="00467C54" w:rsidRDefault="00A01C50"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Focus group feedback was very positive, particularly in relation to the time taken to complete, the pertinence of the items and the layout. Only minor comments emerged.</w:t>
      </w:r>
    </w:p>
    <w:p w:rsidR="00C45EF7" w:rsidRPr="00467C54" w:rsidRDefault="00C45EF7" w:rsidP="005A0156">
      <w:pPr>
        <w:rPr>
          <w:rFonts w:asciiTheme="majorHAnsi" w:hAnsiTheme="majorHAnsi"/>
        </w:rPr>
      </w:pPr>
    </w:p>
    <w:p w:rsidR="00AE08EA" w:rsidRPr="00467C54" w:rsidRDefault="00F10EE4" w:rsidP="005A0156">
      <w:pPr>
        <w:rPr>
          <w:rFonts w:asciiTheme="majorHAnsi" w:hAnsiTheme="majorHAnsi" w:cstheme="minorHAnsi"/>
          <w:b/>
        </w:rPr>
      </w:pPr>
      <w:r w:rsidRPr="00467C54">
        <w:rPr>
          <w:rFonts w:asciiTheme="majorHAnsi" w:hAnsiTheme="majorHAnsi" w:cstheme="minorHAnsi"/>
          <w:b/>
        </w:rPr>
        <w:t>Conclusions</w:t>
      </w:r>
    </w:p>
    <w:p w:rsidR="00F10EE4" w:rsidRPr="00467C54" w:rsidRDefault="00F10EE4" w:rsidP="005A0156">
      <w:pPr>
        <w:rPr>
          <w:rFonts w:asciiTheme="majorHAnsi" w:hAnsiTheme="majorHAnsi" w:cstheme="minorHAnsi"/>
          <w:b/>
        </w:rPr>
      </w:pPr>
    </w:p>
    <w:p w:rsidR="00F96F2B" w:rsidRPr="00467C54" w:rsidRDefault="00F96F2B" w:rsidP="005A0156">
      <w:pPr>
        <w:rPr>
          <w:rFonts w:asciiTheme="majorHAnsi" w:hAnsiTheme="majorHAnsi" w:cstheme="minorHAnsi"/>
        </w:rPr>
      </w:pPr>
      <w:r w:rsidRPr="00467C54">
        <w:rPr>
          <w:rFonts w:asciiTheme="majorHAnsi" w:hAnsiTheme="majorHAnsi" w:cstheme="minorHAnsi"/>
        </w:rPr>
        <w:t xml:space="preserve">The </w:t>
      </w:r>
      <w:r w:rsidR="001B0018" w:rsidRPr="00467C54">
        <w:rPr>
          <w:rFonts w:asciiTheme="majorHAnsi" w:hAnsiTheme="majorHAnsi" w:cstheme="minorHAnsi"/>
        </w:rPr>
        <w:t>NHSEEI</w:t>
      </w:r>
      <w:r w:rsidR="00A01C50" w:rsidRPr="00467C54">
        <w:rPr>
          <w:rFonts w:asciiTheme="majorHAnsi" w:hAnsiTheme="majorHAnsi" w:cstheme="minorHAnsi"/>
        </w:rPr>
        <w:t xml:space="preserve"> is a robust, reliable, </w:t>
      </w:r>
      <w:r w:rsidRPr="00467C54">
        <w:rPr>
          <w:rFonts w:asciiTheme="majorHAnsi" w:hAnsiTheme="majorHAnsi" w:cstheme="minorHAnsi"/>
        </w:rPr>
        <w:t xml:space="preserve">valid </w:t>
      </w:r>
      <w:r w:rsidR="00A01C50" w:rsidRPr="00467C54">
        <w:rPr>
          <w:rFonts w:asciiTheme="majorHAnsi" w:hAnsiTheme="majorHAnsi" w:cstheme="minorHAnsi"/>
        </w:rPr>
        <w:t xml:space="preserve">and popular </w:t>
      </w:r>
      <w:r w:rsidRPr="00467C54">
        <w:rPr>
          <w:rFonts w:asciiTheme="majorHAnsi" w:hAnsiTheme="majorHAnsi" w:cstheme="minorHAnsi"/>
        </w:rPr>
        <w:t>measure of staff engagement</w:t>
      </w:r>
      <w:r w:rsidR="002F26B6" w:rsidRPr="00467C54">
        <w:rPr>
          <w:rFonts w:asciiTheme="majorHAnsi" w:hAnsiTheme="majorHAnsi" w:cstheme="minorHAnsi"/>
        </w:rPr>
        <w:t>. It is also an excellent tool to measure improvement in staff engagement</w:t>
      </w:r>
      <w:r w:rsidR="00687D3D" w:rsidRPr="00467C54">
        <w:rPr>
          <w:rFonts w:asciiTheme="majorHAnsi" w:hAnsiTheme="majorHAnsi" w:cstheme="minorHAnsi"/>
        </w:rPr>
        <w:t>.</w:t>
      </w:r>
      <w:r w:rsidR="00E378B5" w:rsidRPr="00467C54">
        <w:rPr>
          <w:rFonts w:asciiTheme="majorHAnsi" w:hAnsiTheme="majorHAnsi" w:cstheme="minorHAnsi"/>
        </w:rPr>
        <w:t xml:space="preserve"> </w:t>
      </w:r>
    </w:p>
    <w:p w:rsidR="00A01C50" w:rsidRPr="00467C54" w:rsidRDefault="00A01C50" w:rsidP="005A0156">
      <w:pPr>
        <w:rPr>
          <w:rFonts w:asciiTheme="majorHAnsi" w:hAnsiTheme="majorHAnsi" w:cstheme="minorHAnsi"/>
          <w:b/>
        </w:rPr>
      </w:pPr>
    </w:p>
    <w:p w:rsidR="00F10EE4" w:rsidRPr="00467C54" w:rsidRDefault="00F10EE4" w:rsidP="005A0156">
      <w:pPr>
        <w:rPr>
          <w:rFonts w:asciiTheme="majorHAnsi" w:hAnsiTheme="majorHAnsi" w:cstheme="minorHAnsi"/>
          <w:b/>
        </w:rPr>
      </w:pPr>
      <w:r w:rsidRPr="00467C54">
        <w:rPr>
          <w:rFonts w:asciiTheme="majorHAnsi" w:hAnsiTheme="majorHAnsi" w:cstheme="minorHAnsi"/>
          <w:b/>
        </w:rPr>
        <w:t>Recommendations</w:t>
      </w:r>
    </w:p>
    <w:p w:rsidR="00F10EE4" w:rsidRPr="00467C54" w:rsidRDefault="00F10EE4" w:rsidP="005A0156">
      <w:pPr>
        <w:rPr>
          <w:rFonts w:asciiTheme="majorHAnsi" w:hAnsiTheme="majorHAnsi" w:cstheme="minorHAnsi"/>
          <w:b/>
        </w:rPr>
      </w:pPr>
    </w:p>
    <w:p w:rsidR="002F26B6" w:rsidRPr="00467C54" w:rsidRDefault="00F96F2B" w:rsidP="005A0156">
      <w:pPr>
        <w:rPr>
          <w:rFonts w:asciiTheme="majorHAnsi" w:hAnsiTheme="majorHAnsi" w:cstheme="minorHAnsi"/>
        </w:rPr>
      </w:pPr>
      <w:r w:rsidRPr="00467C54">
        <w:rPr>
          <w:rFonts w:asciiTheme="majorHAnsi" w:hAnsiTheme="majorHAnsi" w:cstheme="minorHAnsi"/>
        </w:rPr>
        <w:t xml:space="preserve">Remove the </w:t>
      </w:r>
      <w:r w:rsidR="00A01C50" w:rsidRPr="00467C54">
        <w:rPr>
          <w:rFonts w:asciiTheme="majorHAnsi" w:hAnsiTheme="majorHAnsi" w:cstheme="minorHAnsi"/>
        </w:rPr>
        <w:t>reversal of items 4, 16 and 22, otherwise leave the 28 items as they are. Add a timescale to specify the response period</w:t>
      </w:r>
      <w:r w:rsidR="005D76A2" w:rsidRPr="00467C54">
        <w:rPr>
          <w:rFonts w:asciiTheme="majorHAnsi" w:hAnsiTheme="majorHAnsi" w:cstheme="minorHAnsi"/>
        </w:rPr>
        <w:t>.</w:t>
      </w:r>
    </w:p>
    <w:p w:rsidR="00A01C50" w:rsidRPr="00467C54" w:rsidRDefault="00A01C50" w:rsidP="005A0156">
      <w:pPr>
        <w:rPr>
          <w:rFonts w:asciiTheme="majorHAnsi" w:eastAsia="Times New Roman" w:hAnsiTheme="majorHAnsi" w:cs="Calibri"/>
          <w:color w:val="000000"/>
          <w:lang w:eastAsia="en-GB"/>
        </w:rPr>
      </w:pPr>
    </w:p>
    <w:p w:rsidR="002F26B6" w:rsidRPr="00467C54" w:rsidRDefault="00687D3D"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Keep item 29 but reverse the scale</w:t>
      </w:r>
      <w:r w:rsidR="00A01C50" w:rsidRPr="00467C54">
        <w:rPr>
          <w:rFonts w:asciiTheme="majorHAnsi" w:eastAsia="Times New Roman" w:hAnsiTheme="majorHAnsi" w:cs="Calibri"/>
          <w:color w:val="000000"/>
          <w:lang w:eastAsia="en-GB"/>
        </w:rPr>
        <w:t xml:space="preserve"> to go from 0 – 10 instead of 10 – 0</w:t>
      </w:r>
      <w:r w:rsidRPr="00467C54">
        <w:rPr>
          <w:rFonts w:asciiTheme="majorHAnsi" w:eastAsia="Times New Roman" w:hAnsiTheme="majorHAnsi" w:cs="Calibri"/>
          <w:color w:val="000000"/>
          <w:lang w:eastAsia="en-GB"/>
        </w:rPr>
        <w:t>.</w:t>
      </w:r>
      <w:r w:rsidR="005D76A2" w:rsidRPr="00467C54">
        <w:rPr>
          <w:rFonts w:asciiTheme="majorHAnsi" w:eastAsia="Times New Roman" w:hAnsiTheme="majorHAnsi" w:cs="Calibri"/>
          <w:color w:val="000000"/>
          <w:lang w:eastAsia="en-GB"/>
        </w:rPr>
        <w:t xml:space="preserve"> </w:t>
      </w:r>
      <w:r w:rsidR="00A01C50" w:rsidRPr="00467C54">
        <w:rPr>
          <w:rFonts w:asciiTheme="majorHAnsi" w:eastAsia="Times New Roman" w:hAnsiTheme="majorHAnsi" w:cs="Calibri"/>
          <w:color w:val="000000"/>
          <w:lang w:eastAsia="en-GB"/>
        </w:rPr>
        <w:t xml:space="preserve">Responses to </w:t>
      </w:r>
      <w:r w:rsidR="00A1606A" w:rsidRPr="00467C54">
        <w:rPr>
          <w:rFonts w:asciiTheme="majorHAnsi" w:eastAsia="Times New Roman" w:hAnsiTheme="majorHAnsi" w:cs="Calibri"/>
          <w:color w:val="000000"/>
          <w:lang w:eastAsia="en-GB"/>
        </w:rPr>
        <w:t>item</w:t>
      </w:r>
      <w:r w:rsidR="00A01C50" w:rsidRPr="00467C54">
        <w:rPr>
          <w:rFonts w:asciiTheme="majorHAnsi" w:eastAsia="Times New Roman" w:hAnsiTheme="majorHAnsi" w:cs="Calibri"/>
          <w:color w:val="000000"/>
          <w:lang w:eastAsia="en-GB"/>
        </w:rPr>
        <w:t xml:space="preserve"> 29 sh</w:t>
      </w:r>
      <w:r w:rsidR="002F26B6" w:rsidRPr="00467C54">
        <w:rPr>
          <w:rFonts w:asciiTheme="majorHAnsi" w:eastAsia="Times New Roman" w:hAnsiTheme="majorHAnsi" w:cs="Calibri"/>
          <w:color w:val="000000"/>
          <w:lang w:eastAsia="en-GB"/>
        </w:rPr>
        <w:t xml:space="preserve">ould be utilised as a snapshot for </w:t>
      </w:r>
      <w:r w:rsidRPr="00467C54">
        <w:rPr>
          <w:rFonts w:asciiTheme="majorHAnsi" w:eastAsia="Times New Roman" w:hAnsiTheme="majorHAnsi" w:cs="Calibri"/>
          <w:color w:val="000000"/>
          <w:lang w:eastAsia="en-GB"/>
        </w:rPr>
        <w:t>crosschecking</w:t>
      </w:r>
      <w:r w:rsidR="002F26B6" w:rsidRPr="00467C54">
        <w:rPr>
          <w:rFonts w:asciiTheme="majorHAnsi" w:eastAsia="Times New Roman" w:hAnsiTheme="majorHAnsi" w:cs="Calibri"/>
          <w:color w:val="000000"/>
          <w:lang w:eastAsia="en-GB"/>
        </w:rPr>
        <w:t xml:space="preserve"> levels of staff engagement</w:t>
      </w:r>
      <w:r w:rsidR="00E378B5" w:rsidRPr="00467C54">
        <w:rPr>
          <w:rFonts w:asciiTheme="majorHAnsi" w:eastAsia="Times New Roman" w:hAnsiTheme="majorHAnsi" w:cs="Calibri"/>
          <w:color w:val="000000"/>
          <w:lang w:eastAsia="en-GB"/>
        </w:rPr>
        <w:t xml:space="preserve"> and ascertaining response logic</w:t>
      </w:r>
      <w:r w:rsidRPr="00467C54">
        <w:rPr>
          <w:rFonts w:asciiTheme="majorHAnsi" w:eastAsia="Times New Roman" w:hAnsiTheme="majorHAnsi" w:cs="Calibri"/>
          <w:color w:val="000000"/>
          <w:lang w:eastAsia="en-GB"/>
        </w:rPr>
        <w:t>. They should not be used as a standalone metric.</w:t>
      </w:r>
      <w:r w:rsidR="00E378B5" w:rsidRPr="00467C54">
        <w:rPr>
          <w:rFonts w:asciiTheme="majorHAnsi" w:eastAsia="Times New Roman" w:hAnsiTheme="majorHAnsi" w:cs="Calibri"/>
          <w:color w:val="000000"/>
          <w:lang w:eastAsia="en-GB"/>
        </w:rPr>
        <w:t xml:space="preserve"> </w:t>
      </w:r>
    </w:p>
    <w:p w:rsidR="00E378B5" w:rsidRPr="00467C54" w:rsidRDefault="00E378B5" w:rsidP="005A0156">
      <w:pPr>
        <w:rPr>
          <w:rFonts w:asciiTheme="majorHAnsi" w:eastAsia="Times New Roman" w:hAnsiTheme="majorHAnsi" w:cs="Calibri"/>
          <w:color w:val="000000"/>
          <w:lang w:eastAsia="en-GB"/>
        </w:rPr>
      </w:pPr>
    </w:p>
    <w:p w:rsidR="005D76A2" w:rsidRPr="00467C54" w:rsidRDefault="00E378B5" w:rsidP="005D76A2">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Keep sample sizes comparably high in subsequent iterations to maintain the level of credibility achieved here.</w:t>
      </w:r>
      <w:r w:rsidR="005D76A2" w:rsidRPr="00467C54">
        <w:rPr>
          <w:rFonts w:asciiTheme="majorHAnsi" w:eastAsia="Times New Roman" w:hAnsiTheme="majorHAnsi" w:cs="Calibri"/>
          <w:color w:val="000000"/>
          <w:lang w:eastAsia="en-GB"/>
        </w:rPr>
        <w:t xml:space="preserve"> </w:t>
      </w:r>
    </w:p>
    <w:p w:rsidR="009E14B8" w:rsidRPr="00467C54" w:rsidRDefault="009E14B8" w:rsidP="005D76A2">
      <w:pPr>
        <w:rPr>
          <w:rFonts w:asciiTheme="majorHAnsi" w:eastAsia="Times New Roman" w:hAnsiTheme="majorHAnsi" w:cs="Calibri"/>
          <w:color w:val="000000"/>
          <w:lang w:eastAsia="en-GB"/>
        </w:rPr>
      </w:pPr>
    </w:p>
    <w:p w:rsidR="009E14B8" w:rsidRPr="00467C54" w:rsidRDefault="009E14B8" w:rsidP="005D76A2">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Feedback results to staff. Their engagement in the </w:t>
      </w:r>
      <w:r w:rsidR="00DA5D24" w:rsidRPr="00467C54">
        <w:rPr>
          <w:rFonts w:asciiTheme="majorHAnsi" w:eastAsia="Times New Roman" w:hAnsiTheme="majorHAnsi" w:cs="Calibri"/>
          <w:color w:val="000000"/>
          <w:lang w:eastAsia="en-GB"/>
        </w:rPr>
        <w:t>co</w:t>
      </w:r>
      <w:r w:rsidR="0062633C" w:rsidRPr="00467C54">
        <w:rPr>
          <w:rFonts w:asciiTheme="majorHAnsi" w:eastAsia="Times New Roman" w:hAnsiTheme="majorHAnsi" w:cs="Calibri"/>
          <w:color w:val="000000"/>
          <w:lang w:eastAsia="en-GB"/>
        </w:rPr>
        <w:t>-</w:t>
      </w:r>
      <w:r w:rsidR="00DA5D24" w:rsidRPr="00467C54">
        <w:rPr>
          <w:rFonts w:asciiTheme="majorHAnsi" w:eastAsia="Times New Roman" w:hAnsiTheme="majorHAnsi" w:cs="Calibri"/>
          <w:color w:val="000000"/>
          <w:lang w:eastAsia="en-GB"/>
        </w:rPr>
        <w:t>construction</w:t>
      </w:r>
      <w:r w:rsidRPr="00467C54">
        <w:rPr>
          <w:rFonts w:asciiTheme="majorHAnsi" w:eastAsia="Times New Roman" w:hAnsiTheme="majorHAnsi" w:cs="Calibri"/>
          <w:color w:val="000000"/>
          <w:lang w:eastAsia="en-GB"/>
        </w:rPr>
        <w:t xml:space="preserve"> of scale development has enhanced credibility and generalisability. In order to maintain this validity staff must remain engaged in the process of dissemination, feedback and action.</w:t>
      </w:r>
    </w:p>
    <w:p w:rsidR="005D76A2" w:rsidRPr="00467C54" w:rsidRDefault="005D76A2" w:rsidP="005D76A2">
      <w:pPr>
        <w:rPr>
          <w:rFonts w:asciiTheme="majorHAnsi" w:eastAsia="Times New Roman" w:hAnsiTheme="majorHAnsi" w:cs="Calibri"/>
          <w:color w:val="000000"/>
          <w:lang w:eastAsia="en-GB"/>
        </w:rPr>
      </w:pPr>
    </w:p>
    <w:p w:rsidR="005D76A2" w:rsidRPr="00467C54" w:rsidRDefault="005D76A2" w:rsidP="005D76A2">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Test NHSEEI nationally. Rollout the NHSEEI simultaneously with any proposed continuation of staff survey to: establish construct validity between the two measures and to ascertain which measure staff prefer.</w:t>
      </w:r>
    </w:p>
    <w:p w:rsidR="00953BCB" w:rsidRPr="00467C54" w:rsidRDefault="00953BCB" w:rsidP="008219F2">
      <w:pPr>
        <w:pStyle w:val="Heading2"/>
      </w:pPr>
    </w:p>
    <w:p w:rsidR="00EA0B70" w:rsidRPr="00467C54" w:rsidRDefault="00EA0B70" w:rsidP="00EA0B70">
      <w:pPr>
        <w:rPr>
          <w:rFonts w:asciiTheme="majorHAnsi" w:hAnsiTheme="majorHAnsi"/>
        </w:rPr>
      </w:pPr>
    </w:p>
    <w:p w:rsidR="00EA0B70" w:rsidRPr="00467C54" w:rsidRDefault="00EA0B70" w:rsidP="00EA0B70">
      <w:pPr>
        <w:rPr>
          <w:rFonts w:asciiTheme="majorHAnsi" w:hAnsiTheme="majorHAnsi"/>
        </w:rPr>
      </w:pPr>
    </w:p>
    <w:p w:rsidR="00FD4C02" w:rsidRPr="00467C54" w:rsidRDefault="00FB7A3C" w:rsidP="008219F2">
      <w:pPr>
        <w:pStyle w:val="Heading2"/>
        <w:rPr>
          <w:rFonts w:cs="Calibri"/>
          <w:color w:val="000000"/>
          <w:lang w:eastAsia="en-GB"/>
        </w:rPr>
      </w:pPr>
      <w:bookmarkStart w:id="2" w:name="_Toc351201874"/>
      <w:r w:rsidRPr="00467C54">
        <w:t>Introduction</w:t>
      </w:r>
      <w:bookmarkEnd w:id="2"/>
    </w:p>
    <w:p w:rsidR="00FB7A3C" w:rsidRPr="00467C54" w:rsidRDefault="00FB7A3C" w:rsidP="005A0156">
      <w:pPr>
        <w:rPr>
          <w:rFonts w:asciiTheme="majorHAnsi" w:hAnsiTheme="majorHAnsi" w:cstheme="minorHAnsi"/>
        </w:rPr>
      </w:pPr>
    </w:p>
    <w:p w:rsidR="00FB7A3C" w:rsidRPr="00467C54" w:rsidRDefault="00B70720" w:rsidP="005A0156">
      <w:pPr>
        <w:rPr>
          <w:rFonts w:asciiTheme="majorHAnsi" w:hAnsiTheme="majorHAnsi" w:cstheme="minorHAnsi"/>
        </w:rPr>
      </w:pPr>
      <w:r w:rsidRPr="00467C54">
        <w:rPr>
          <w:rFonts w:asciiTheme="majorHAnsi" w:hAnsiTheme="majorHAnsi" w:cstheme="minorHAnsi"/>
        </w:rPr>
        <w:t>This is the final</w:t>
      </w:r>
      <w:r w:rsidR="00FB7A3C" w:rsidRPr="00467C54">
        <w:rPr>
          <w:rFonts w:asciiTheme="majorHAnsi" w:hAnsiTheme="majorHAnsi" w:cstheme="minorHAnsi"/>
        </w:rPr>
        <w:t xml:space="preserve"> report pertaining to validation of the NHS Scotland Employee Engagement Index. Specif</w:t>
      </w:r>
      <w:r w:rsidR="00CD0A50" w:rsidRPr="00467C54">
        <w:rPr>
          <w:rFonts w:asciiTheme="majorHAnsi" w:hAnsiTheme="majorHAnsi" w:cstheme="minorHAnsi"/>
        </w:rPr>
        <w:t>ically it relates to objectives 2 &amp; 3</w:t>
      </w:r>
      <w:r w:rsidR="006A500E" w:rsidRPr="00467C54">
        <w:rPr>
          <w:rFonts w:asciiTheme="majorHAnsi" w:hAnsiTheme="majorHAnsi" w:cstheme="minorHAnsi"/>
        </w:rPr>
        <w:t>, italicised</w:t>
      </w:r>
      <w:r w:rsidR="00FB7A3C" w:rsidRPr="00467C54">
        <w:rPr>
          <w:rFonts w:asciiTheme="majorHAnsi" w:hAnsiTheme="majorHAnsi" w:cstheme="minorHAnsi"/>
        </w:rPr>
        <w:t xml:space="preserve"> below</w:t>
      </w:r>
      <w:r w:rsidR="00CD0A50" w:rsidRPr="00467C54">
        <w:rPr>
          <w:rFonts w:asciiTheme="majorHAnsi" w:hAnsiTheme="majorHAnsi" w:cstheme="minorHAnsi"/>
        </w:rPr>
        <w:t>, which are</w:t>
      </w:r>
      <w:r w:rsidR="00390E4E" w:rsidRPr="00467C54">
        <w:rPr>
          <w:rFonts w:asciiTheme="majorHAnsi" w:hAnsiTheme="majorHAnsi" w:cstheme="minorHAnsi"/>
        </w:rPr>
        <w:t xml:space="preserve"> situated within the following aim and objectives</w:t>
      </w:r>
      <w:r w:rsidR="00FB7A3C" w:rsidRPr="00467C54">
        <w:rPr>
          <w:rFonts w:asciiTheme="majorHAnsi" w:hAnsiTheme="majorHAnsi" w:cstheme="minorHAnsi"/>
        </w:rPr>
        <w:t>.</w:t>
      </w:r>
    </w:p>
    <w:p w:rsidR="00853D94" w:rsidRPr="00467C54" w:rsidRDefault="00FB7A3C" w:rsidP="005A0156">
      <w:pPr>
        <w:spacing w:before="100" w:beforeAutospacing="1" w:after="100" w:afterAutospacing="1"/>
        <w:ind w:left="720" w:hanging="720"/>
        <w:rPr>
          <w:rFonts w:asciiTheme="majorHAnsi" w:hAnsiTheme="majorHAnsi" w:cstheme="minorHAnsi"/>
          <w:i/>
          <w:color w:val="000000"/>
        </w:rPr>
      </w:pPr>
      <w:r w:rsidRPr="00467C54">
        <w:rPr>
          <w:rFonts w:asciiTheme="majorHAnsi" w:hAnsiTheme="majorHAnsi" w:cstheme="minorHAnsi"/>
          <w:i/>
          <w:color w:val="000000"/>
        </w:rPr>
        <w:t xml:space="preserve">Aim </w:t>
      </w:r>
    </w:p>
    <w:p w:rsidR="00FB7A3C" w:rsidRPr="00467C54" w:rsidRDefault="00FB7A3C" w:rsidP="005A0156">
      <w:pPr>
        <w:spacing w:before="100" w:beforeAutospacing="1" w:after="100" w:afterAutospacing="1"/>
        <w:rPr>
          <w:rFonts w:asciiTheme="majorHAnsi" w:hAnsiTheme="majorHAnsi" w:cstheme="minorHAnsi"/>
          <w:color w:val="000000"/>
        </w:rPr>
      </w:pPr>
      <w:r w:rsidRPr="00467C54">
        <w:rPr>
          <w:rFonts w:asciiTheme="majorHAnsi" w:hAnsiTheme="majorHAnsi" w:cstheme="minorHAnsi"/>
          <w:color w:val="000000"/>
        </w:rPr>
        <w:t>To validate the proposed questions for an NHS Scotland Employee Engagement Index (</w:t>
      </w:r>
      <w:r w:rsidR="001B0018" w:rsidRPr="00467C54">
        <w:rPr>
          <w:rFonts w:asciiTheme="majorHAnsi" w:hAnsiTheme="majorHAnsi" w:cstheme="minorHAnsi"/>
          <w:color w:val="000000"/>
        </w:rPr>
        <w:t>NHSEEI</w:t>
      </w:r>
      <w:r w:rsidRPr="00467C54">
        <w:rPr>
          <w:rFonts w:asciiTheme="majorHAnsi" w:hAnsiTheme="majorHAnsi" w:cstheme="minorHAnsi"/>
          <w:color w:val="000000"/>
        </w:rPr>
        <w:t>), and make recommendations on the most appropriate way of constructing that Index.</w:t>
      </w:r>
    </w:p>
    <w:p w:rsidR="00FB7A3C" w:rsidRPr="00467C54" w:rsidRDefault="00FB7A3C" w:rsidP="005A0156">
      <w:pPr>
        <w:spacing w:before="100" w:beforeAutospacing="1" w:after="100" w:afterAutospacing="1"/>
        <w:rPr>
          <w:rFonts w:asciiTheme="majorHAnsi" w:hAnsiTheme="majorHAnsi" w:cstheme="minorHAnsi"/>
          <w:color w:val="000000"/>
        </w:rPr>
      </w:pPr>
      <w:r w:rsidRPr="00467C54">
        <w:rPr>
          <w:rFonts w:asciiTheme="majorHAnsi" w:hAnsiTheme="majorHAnsi" w:cstheme="minorHAnsi"/>
          <w:i/>
          <w:color w:val="000000"/>
        </w:rPr>
        <w:t>Objectives</w:t>
      </w:r>
      <w:r w:rsidRPr="00467C54">
        <w:rPr>
          <w:rFonts w:asciiTheme="majorHAnsi" w:hAnsiTheme="majorHAnsi" w:cstheme="minorHAnsi"/>
          <w:color w:val="000000"/>
        </w:rPr>
        <w:t>:</w:t>
      </w:r>
    </w:p>
    <w:p w:rsidR="00FB7A3C" w:rsidRPr="00467C54" w:rsidRDefault="00FB7A3C" w:rsidP="005A0156">
      <w:pPr>
        <w:pStyle w:val="ListParagraph"/>
        <w:numPr>
          <w:ilvl w:val="0"/>
          <w:numId w:val="2"/>
        </w:numPr>
        <w:tabs>
          <w:tab w:val="left" w:pos="720"/>
          <w:tab w:val="left" w:pos="2160"/>
          <w:tab w:val="left" w:pos="2880"/>
          <w:tab w:val="left" w:pos="4680"/>
          <w:tab w:val="left" w:pos="5400"/>
          <w:tab w:val="right" w:pos="9000"/>
        </w:tabs>
        <w:spacing w:before="100" w:beforeAutospacing="1" w:after="100" w:afterAutospacing="1" w:line="240" w:lineRule="atLeast"/>
        <w:rPr>
          <w:rFonts w:asciiTheme="majorHAnsi" w:hAnsiTheme="majorHAnsi" w:cstheme="minorHAnsi"/>
          <w:color w:val="000000"/>
        </w:rPr>
      </w:pPr>
      <w:r w:rsidRPr="00467C54">
        <w:rPr>
          <w:rFonts w:asciiTheme="majorHAnsi" w:hAnsiTheme="majorHAnsi" w:cstheme="minorHAnsi"/>
          <w:color w:val="000000"/>
        </w:rPr>
        <w:t xml:space="preserve">Carry out psychometric testing on each question with the aim of determining whether it is appropriate for verifying the subject it is intended for. This </w:t>
      </w:r>
      <w:r w:rsidR="003160F7" w:rsidRPr="00467C54">
        <w:rPr>
          <w:rFonts w:asciiTheme="majorHAnsi" w:hAnsiTheme="majorHAnsi" w:cstheme="minorHAnsi"/>
          <w:color w:val="000000"/>
        </w:rPr>
        <w:t>was completed with an Interim report</w:t>
      </w:r>
      <w:r w:rsidR="006F6711" w:rsidRPr="00467C54">
        <w:rPr>
          <w:rFonts w:asciiTheme="majorHAnsi" w:hAnsiTheme="majorHAnsi" w:cstheme="minorHAnsi"/>
          <w:color w:val="000000"/>
        </w:rPr>
        <w:fldChar w:fldCharType="begin" w:fldLock="1"/>
      </w:r>
      <w:r w:rsidR="00EB25FC" w:rsidRPr="00467C54">
        <w:rPr>
          <w:rFonts w:asciiTheme="majorHAnsi" w:hAnsiTheme="majorHAnsi" w:cstheme="minorHAnsi"/>
          <w:color w:val="000000"/>
        </w:rPr>
        <w:instrText>ADDIN CSL_CITATION { "citationItems" : [ { "id" : "ITEM-1", "itemData" : { "author" : [ { "family" : "Snowden", "given" : "A." }, { "family" : "MacArthur", "given" : "E." } ], "id" : "ITEM-1", "issued" : { "date-parts" : [ [ "2013" ] ] }, "note" : "&lt;m:note/&gt;", "page" : "40", "title" : "Validation of the NHS Scotland Employee Engagement Index: Interim Report", "type" : "report" }, "uris" : [ "http://www.mendeley.com/documents/?uuid=ba044000-5d26-48d5-a1b1-701360c496ad" ] } ], "mendeley" : { "previouslyFormattedCitation" : "&lt;sup&gt;1&lt;/sup&gt;" }, "properties" : { "noteIndex" : 0 }, "schema" : "https://github.com/citation-style-language/schema/raw/master/csl-citation.json" }</w:instrText>
      </w:r>
      <w:r w:rsidR="006F6711" w:rsidRPr="00467C54">
        <w:rPr>
          <w:rFonts w:asciiTheme="majorHAnsi" w:hAnsiTheme="majorHAnsi" w:cstheme="minorHAnsi"/>
          <w:color w:val="000000"/>
        </w:rPr>
        <w:fldChar w:fldCharType="separate"/>
      </w:r>
      <w:r w:rsidR="00EB25FC" w:rsidRPr="00467C54">
        <w:rPr>
          <w:rFonts w:asciiTheme="majorHAnsi" w:hAnsiTheme="majorHAnsi" w:cstheme="minorHAnsi"/>
          <w:noProof/>
          <w:color w:val="000000"/>
          <w:vertAlign w:val="superscript"/>
        </w:rPr>
        <w:t>1</w:t>
      </w:r>
      <w:r w:rsidR="006F6711" w:rsidRPr="00467C54">
        <w:rPr>
          <w:rFonts w:asciiTheme="majorHAnsi" w:hAnsiTheme="majorHAnsi" w:cstheme="minorHAnsi"/>
          <w:color w:val="000000"/>
        </w:rPr>
        <w:fldChar w:fldCharType="end"/>
      </w:r>
      <w:r w:rsidR="003160F7" w:rsidRPr="00467C54">
        <w:rPr>
          <w:rFonts w:asciiTheme="majorHAnsi" w:hAnsiTheme="majorHAnsi" w:cstheme="minorHAnsi"/>
          <w:color w:val="000000"/>
        </w:rPr>
        <w:t xml:space="preserve"> on</w:t>
      </w:r>
      <w:r w:rsidRPr="00467C54">
        <w:rPr>
          <w:rFonts w:asciiTheme="majorHAnsi" w:hAnsiTheme="majorHAnsi" w:cstheme="minorHAnsi"/>
          <w:color w:val="000000"/>
        </w:rPr>
        <w:t xml:space="preserve"> 4</w:t>
      </w:r>
      <w:r w:rsidRPr="00467C54">
        <w:rPr>
          <w:rFonts w:asciiTheme="majorHAnsi" w:hAnsiTheme="majorHAnsi" w:cstheme="minorHAnsi"/>
          <w:color w:val="000000"/>
          <w:vertAlign w:val="superscript"/>
        </w:rPr>
        <w:t>th</w:t>
      </w:r>
      <w:r w:rsidRPr="00467C54">
        <w:rPr>
          <w:rFonts w:asciiTheme="majorHAnsi" w:hAnsiTheme="majorHAnsi" w:cstheme="minorHAnsi"/>
          <w:color w:val="000000"/>
        </w:rPr>
        <w:t xml:space="preserve"> January 2013.</w:t>
      </w:r>
    </w:p>
    <w:p w:rsidR="00FB7A3C" w:rsidRPr="00467C54" w:rsidRDefault="00FB7A3C" w:rsidP="005A0156">
      <w:pPr>
        <w:pStyle w:val="ListParagraph"/>
        <w:numPr>
          <w:ilvl w:val="0"/>
          <w:numId w:val="2"/>
        </w:numPr>
        <w:tabs>
          <w:tab w:val="left" w:pos="720"/>
          <w:tab w:val="left" w:pos="2160"/>
          <w:tab w:val="left" w:pos="2880"/>
          <w:tab w:val="left" w:pos="4680"/>
          <w:tab w:val="left" w:pos="5400"/>
          <w:tab w:val="right" w:pos="9000"/>
        </w:tabs>
        <w:spacing w:before="100" w:beforeAutospacing="1" w:after="100" w:afterAutospacing="1" w:line="240" w:lineRule="atLeast"/>
        <w:rPr>
          <w:rFonts w:asciiTheme="majorHAnsi" w:hAnsiTheme="majorHAnsi" w:cstheme="minorHAnsi"/>
          <w:i/>
          <w:color w:val="000000"/>
        </w:rPr>
      </w:pPr>
      <w:r w:rsidRPr="00467C54">
        <w:rPr>
          <w:rFonts w:asciiTheme="majorHAnsi" w:hAnsiTheme="majorHAnsi" w:cstheme="minorHAnsi"/>
          <w:i/>
          <w:color w:val="000000"/>
        </w:rPr>
        <w:t>Conduct a factor analysis using data from the January pilot to determine, which, if any, questions are correlated and the implications for deriving an Employee Engagement index. This should be completed by 1</w:t>
      </w:r>
      <w:r w:rsidRPr="00467C54">
        <w:rPr>
          <w:rFonts w:asciiTheme="majorHAnsi" w:hAnsiTheme="majorHAnsi" w:cstheme="minorHAnsi"/>
          <w:i/>
          <w:color w:val="000000"/>
          <w:vertAlign w:val="superscript"/>
        </w:rPr>
        <w:t>st</w:t>
      </w:r>
      <w:r w:rsidRPr="00467C54">
        <w:rPr>
          <w:rFonts w:asciiTheme="majorHAnsi" w:hAnsiTheme="majorHAnsi" w:cstheme="minorHAnsi"/>
          <w:i/>
          <w:color w:val="000000"/>
        </w:rPr>
        <w:t xml:space="preserve"> March 2013.</w:t>
      </w:r>
    </w:p>
    <w:p w:rsidR="00FB7A3C" w:rsidRPr="00467C54" w:rsidRDefault="00FB7A3C" w:rsidP="005A0156">
      <w:pPr>
        <w:pStyle w:val="ListParagraph"/>
        <w:numPr>
          <w:ilvl w:val="0"/>
          <w:numId w:val="2"/>
        </w:numPr>
        <w:tabs>
          <w:tab w:val="left" w:pos="720"/>
          <w:tab w:val="left" w:pos="2160"/>
          <w:tab w:val="left" w:pos="2880"/>
          <w:tab w:val="left" w:pos="4680"/>
          <w:tab w:val="left" w:pos="5400"/>
          <w:tab w:val="right" w:pos="9000"/>
        </w:tabs>
        <w:spacing w:before="100" w:beforeAutospacing="1" w:after="100" w:afterAutospacing="1" w:line="240" w:lineRule="atLeast"/>
        <w:rPr>
          <w:rFonts w:asciiTheme="majorHAnsi" w:hAnsiTheme="majorHAnsi" w:cstheme="minorHAnsi"/>
          <w:i/>
          <w:color w:val="000000"/>
        </w:rPr>
      </w:pPr>
      <w:r w:rsidRPr="00467C54">
        <w:rPr>
          <w:rFonts w:asciiTheme="majorHAnsi" w:hAnsiTheme="majorHAnsi" w:cstheme="minorHAnsi"/>
          <w:i/>
          <w:color w:val="000000"/>
        </w:rPr>
        <w:t>Make recommendations for an Employee Engagement Index from the above findings. This should be completed in a Final Report by 1</w:t>
      </w:r>
      <w:r w:rsidRPr="00467C54">
        <w:rPr>
          <w:rFonts w:asciiTheme="majorHAnsi" w:hAnsiTheme="majorHAnsi" w:cstheme="minorHAnsi"/>
          <w:i/>
          <w:color w:val="000000"/>
          <w:vertAlign w:val="superscript"/>
        </w:rPr>
        <w:t>st</w:t>
      </w:r>
      <w:r w:rsidRPr="00467C54">
        <w:rPr>
          <w:rFonts w:asciiTheme="majorHAnsi" w:hAnsiTheme="majorHAnsi" w:cstheme="minorHAnsi"/>
          <w:i/>
          <w:color w:val="000000"/>
        </w:rPr>
        <w:t xml:space="preserve"> March 2013.</w:t>
      </w:r>
    </w:p>
    <w:p w:rsidR="00390E4E" w:rsidRPr="00467C54" w:rsidRDefault="00390E4E" w:rsidP="005A0156">
      <w:pPr>
        <w:pStyle w:val="Heading3"/>
      </w:pPr>
      <w:bookmarkStart w:id="3" w:name="_Toc351201875"/>
      <w:r w:rsidRPr="00467C54">
        <w:t>Background</w:t>
      </w:r>
      <w:bookmarkEnd w:id="3"/>
      <w:r w:rsidRPr="00467C54">
        <w:t xml:space="preserve"> </w:t>
      </w:r>
    </w:p>
    <w:p w:rsidR="005C0BAA" w:rsidRPr="00467C54" w:rsidRDefault="00390E4E" w:rsidP="005A0156">
      <w:pPr>
        <w:spacing w:before="100" w:beforeAutospacing="1" w:after="100" w:afterAutospacing="1"/>
        <w:rPr>
          <w:rFonts w:asciiTheme="majorHAnsi" w:hAnsiTheme="majorHAnsi" w:cstheme="minorHAnsi"/>
        </w:rPr>
      </w:pPr>
      <w:r w:rsidRPr="00467C54">
        <w:rPr>
          <w:rFonts w:asciiTheme="majorHAnsi" w:hAnsiTheme="majorHAnsi" w:cstheme="minorHAnsi"/>
        </w:rPr>
        <w:t>The purpose of the overall project is to measure staff</w:t>
      </w:r>
      <w:r w:rsidR="003160F7" w:rsidRPr="00467C54">
        <w:rPr>
          <w:rFonts w:asciiTheme="majorHAnsi" w:hAnsiTheme="majorHAnsi" w:cstheme="minorHAnsi"/>
        </w:rPr>
        <w:t xml:space="preserve"> </w:t>
      </w:r>
      <w:r w:rsidR="001B0018" w:rsidRPr="00467C54">
        <w:rPr>
          <w:rFonts w:asciiTheme="majorHAnsi" w:hAnsiTheme="majorHAnsi" w:cstheme="minorHAnsi"/>
        </w:rPr>
        <w:t xml:space="preserve">engagement </w:t>
      </w:r>
      <w:r w:rsidR="003160F7" w:rsidRPr="00467C54">
        <w:rPr>
          <w:rFonts w:asciiTheme="majorHAnsi" w:hAnsiTheme="majorHAnsi" w:cstheme="minorHAnsi"/>
        </w:rPr>
        <w:t>within NHS</w:t>
      </w:r>
      <w:r w:rsidR="003D0D9F">
        <w:rPr>
          <w:rFonts w:asciiTheme="majorHAnsi" w:hAnsiTheme="majorHAnsi" w:cstheme="minorHAnsi"/>
        </w:rPr>
        <w:t xml:space="preserve"> </w:t>
      </w:r>
      <w:r w:rsidR="003160F7" w:rsidRPr="00467C54">
        <w:rPr>
          <w:rFonts w:asciiTheme="majorHAnsi" w:hAnsiTheme="majorHAnsi" w:cstheme="minorHAnsi"/>
        </w:rPr>
        <w:t>Scotland. The importance of staff engagement has recently been highlighted in the Francis report</w:t>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3160F7" w:rsidRPr="00467C54">
        <w:rPr>
          <w:rFonts w:asciiTheme="majorHAnsi" w:hAnsiTheme="majorHAnsi"/>
          <w:vanish/>
        </w:rPr>
        <w:pgNum/>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"ISBN" : "9780102981476", "author" : [ { "family" : "Francis", "given" : "Robert" } ], "id" : "ITEM-1", "issued" : { "date-parts" : [ [ "2013" ] ] }, "note" : "&lt;m:note&gt;&lt;/m:note&gt;", "publisher-place" : "London", "title" : "Report of the Mid Staffordshire NHS Foundation Trust Public Inquiry Executive summary", "type" : "report" }, "uris" : [ "http://www.mendeley.com/documents/?uuid=b16b67a0-ee06-4105-916d-811a09e4d800" ] } ], "mendeley" : { "previouslyFormattedCitation" : "&lt;sup&gt;2&lt;/sup&gt;"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2</w:t>
      </w:r>
      <w:r w:rsidR="006F6711" w:rsidRPr="00467C54">
        <w:rPr>
          <w:rFonts w:asciiTheme="majorHAnsi" w:hAnsiTheme="majorHAnsi" w:cstheme="minorHAnsi"/>
        </w:rPr>
        <w:fldChar w:fldCharType="end"/>
      </w:r>
      <w:r w:rsidR="003160F7" w:rsidRPr="00467C54">
        <w:rPr>
          <w:rFonts w:asciiTheme="majorHAnsi" w:hAnsiTheme="majorHAnsi" w:cstheme="minorHAnsi"/>
        </w:rPr>
        <w:t>. It</w:t>
      </w:r>
      <w:r w:rsidR="008D3840" w:rsidRPr="00467C54">
        <w:rPr>
          <w:rFonts w:asciiTheme="majorHAnsi" w:hAnsiTheme="majorHAnsi" w:cstheme="minorHAnsi"/>
        </w:rPr>
        <w:t xml:space="preserve"> is a fundamental principle of partnership as</w:t>
      </w:r>
      <w:r w:rsidRPr="00467C54">
        <w:rPr>
          <w:rFonts w:asciiTheme="majorHAnsi" w:hAnsiTheme="majorHAnsi" w:cstheme="minorHAnsi"/>
        </w:rPr>
        <w:t xml:space="preserve"> articulated by the revised Staff Governance Standards</w:t>
      </w:r>
      <w:r w:rsidR="008D3840" w:rsidRPr="00467C54">
        <w:rPr>
          <w:rFonts w:asciiTheme="majorHAnsi" w:hAnsiTheme="majorHAnsi" w:cstheme="minorHAnsi"/>
        </w:rPr>
        <w:t xml:space="preserve"> </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"NHSScotland", "given" : "" } ], "id" : "ITEM-1", "issued" : { "date-parts" : [ [ "2012" ] ] }, "note" : "&lt;m:note/&gt;", "page" : "22", "publisher-place" : "Edinburgh.", "title" : "Staff Governance Standard. A Framework for NHSScotland Organisations and Employees, 4th edition", "type" : "report" }, "uris" : [ "http://www.mendeley.com/documents/?uuid=82ae8bec-c3ac-4a10-9027-1b4fd248e6fd" ] } ], "mendeley" : { "previouslyFormattedCitation" : "&lt;sup&gt;3&lt;/sup&gt;"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3</w:t>
      </w:r>
      <w:r w:rsidR="006F6711" w:rsidRPr="00467C54">
        <w:rPr>
          <w:rFonts w:asciiTheme="majorHAnsi" w:hAnsiTheme="majorHAnsi" w:cstheme="minorHAnsi"/>
        </w:rPr>
        <w:fldChar w:fldCharType="end"/>
      </w:r>
      <w:r w:rsidR="008D3840" w:rsidRPr="00467C54">
        <w:rPr>
          <w:rFonts w:asciiTheme="majorHAnsi" w:hAnsiTheme="majorHAnsi" w:cstheme="minorHAnsi"/>
        </w:rPr>
        <w:t>.  Staff engagement therefore sits at the centre of all current he</w:t>
      </w:r>
      <w:r w:rsidR="00860D71" w:rsidRPr="00467C54">
        <w:rPr>
          <w:rFonts w:asciiTheme="majorHAnsi" w:hAnsiTheme="majorHAnsi" w:cstheme="minorHAnsi"/>
        </w:rPr>
        <w:t xml:space="preserve">alth </w:t>
      </w:r>
      <w:r w:rsidR="005C0BAA" w:rsidRPr="00467C54">
        <w:rPr>
          <w:rFonts w:asciiTheme="majorHAnsi" w:hAnsiTheme="majorHAnsi" w:cstheme="minorHAnsi"/>
        </w:rPr>
        <w:t>strateg</w:t>
      </w:r>
      <w:r w:rsidR="00860D71" w:rsidRPr="00467C54">
        <w:rPr>
          <w:rFonts w:asciiTheme="majorHAnsi" w:hAnsiTheme="majorHAnsi" w:cstheme="minorHAnsi"/>
        </w:rPr>
        <w:t>y</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"The Scottish Government", "given" : "" } ], "container-title" : "Nursing", "id" : "ITEM-1", "issued" : { "date-parts" : [ [ "2010" ] ] }, "note" : "&lt;m:note/&gt;", "title" : "Rights , Relationships and Recovery : Refreshed Action plan 2010 - 2011", "type" : "article" }, "uris" : [ "http://www.mendeley.com/documents/?uuid=156a7188-be61-4821-a694-8fa8ab3f43c0" ] } ], "mendeley" : { "previouslyFormattedCitation" : "&lt;sup&gt;4&lt;/sup&gt;"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4</w:t>
      </w:r>
      <w:r w:rsidR="006F6711" w:rsidRPr="00467C54">
        <w:rPr>
          <w:rFonts w:asciiTheme="majorHAnsi" w:hAnsiTheme="majorHAnsi" w:cstheme="minorHAnsi"/>
        </w:rPr>
        <w:fldChar w:fldCharType="end"/>
      </w:r>
      <w:r w:rsidR="005C0BAA" w:rsidRPr="00467C54">
        <w:rPr>
          <w:rFonts w:asciiTheme="majorHAnsi" w:hAnsiTheme="majorHAnsi" w:cstheme="minorHAnsi"/>
        </w:rPr>
        <w:t xml:space="preserve"> </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"The Scottish Government", "given" : "" } ], "id" : "ITEM-1", "issued" : { "date-parts" : [ [ "2011" ] ] }, "note" : "&lt;m:note/&gt;", "title" : "Safe and Well at Work: Occupational Health and Safety Framework for NHSScotland", "type" : "report" }, "uris" : [ "http://www.mendeley.com/documents/?uuid=9674272a-b16d-4c65-a567-7ef0d11e55d0" ] } ], "mendeley" : { "previouslyFormattedCitation" : "&lt;sup&gt;5&lt;/sup&gt;"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5</w:t>
      </w:r>
      <w:r w:rsidR="006F6711" w:rsidRPr="00467C54">
        <w:rPr>
          <w:rFonts w:asciiTheme="majorHAnsi" w:hAnsiTheme="majorHAnsi" w:cstheme="minorHAnsi"/>
        </w:rPr>
        <w:fldChar w:fldCharType="end"/>
      </w:r>
      <w:r w:rsidR="00860D71" w:rsidRPr="00467C54">
        <w:rPr>
          <w:rFonts w:asciiTheme="majorHAnsi" w:hAnsiTheme="majorHAnsi" w:cstheme="minorHAnsi"/>
        </w:rPr>
        <w:t xml:space="preserve"> and legislation</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"The Scottish Government", "given" : "" } ], "id" : "ITEM-1", "issued" : { "date-parts" : [ [ "2011" ] ] }, "note" : "&lt;m:note/&gt;", "title" : "Patient Rights (Scotland) Act 2011", "type" : "legislation" }, "uris" : [ "http://www.mendeley.com/documents/?uuid=101feb40-6fc1-46e1-b4a3-d54dde41188b" ] } ], "mendeley" : { "previouslyFormattedCitation" : "&lt;sup&gt;6&lt;/sup&gt;"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6</w:t>
      </w:r>
      <w:r w:rsidR="006F6711" w:rsidRPr="00467C54">
        <w:rPr>
          <w:rFonts w:asciiTheme="majorHAnsi" w:hAnsiTheme="majorHAnsi" w:cstheme="minorHAnsi"/>
        </w:rPr>
        <w:fldChar w:fldCharType="end"/>
      </w:r>
      <w:r w:rsidR="00860D71" w:rsidRPr="00467C54">
        <w:rPr>
          <w:rFonts w:asciiTheme="majorHAnsi" w:hAnsiTheme="majorHAnsi" w:cstheme="minorHAnsi"/>
        </w:rPr>
        <w:t xml:space="preserve"> and </w:t>
      </w:r>
      <w:r w:rsidR="00C46274" w:rsidRPr="00467C54">
        <w:rPr>
          <w:rFonts w:asciiTheme="majorHAnsi" w:hAnsiTheme="majorHAnsi" w:cstheme="minorHAnsi"/>
        </w:rPr>
        <w:t>the evidence for its importance is</w:t>
      </w:r>
      <w:r w:rsidR="008D3840" w:rsidRPr="00467C54">
        <w:rPr>
          <w:rFonts w:asciiTheme="majorHAnsi" w:hAnsiTheme="majorHAnsi" w:cstheme="minorHAnsi"/>
        </w:rPr>
        <w:t xml:space="preserve"> explicit in</w:t>
      </w:r>
      <w:r w:rsidRPr="00467C54">
        <w:rPr>
          <w:rFonts w:asciiTheme="majorHAnsi" w:hAnsiTheme="majorHAnsi" w:cstheme="minorHAnsi"/>
        </w:rPr>
        <w:t xml:space="preserve"> Scotland’s Healthcare</w:t>
      </w:r>
      <w:r w:rsidR="005C0BAA" w:rsidRPr="00467C54">
        <w:rPr>
          <w:rFonts w:asciiTheme="majorHAnsi" w:hAnsiTheme="majorHAnsi" w:cstheme="minorHAnsi"/>
        </w:rPr>
        <w:t xml:space="preserve"> Strategy</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"ISBN" : "9780755993239", "author" : [ { "family" : "The Scottish Government", "given" : "" } ], "container-title" : "Network", "id" : "ITEM-1", "issue" : "May", "issued" : { "date-parts" : [ [ "2010" ] ] }, "note" : "&lt;m:note/&gt;", "publisher-place" : "Edinburgh", "title" : "The Healthcare Quality Strategy for NHSScotland", "type" : "report" }, "uris" : [ "http://www.mendeley.com/documents/?uuid=677c84f6-2ae5-462a-bb0f-2ed6b23064d0" ] } ], "mendeley" : { "previouslyFormattedCitation" : "&lt;sup&gt;7&lt;/sup&gt;"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7</w:t>
      </w:r>
      <w:r w:rsidR="006F6711" w:rsidRPr="00467C54">
        <w:rPr>
          <w:rFonts w:asciiTheme="majorHAnsi" w:hAnsiTheme="majorHAnsi" w:cstheme="minorHAnsi"/>
        </w:rPr>
        <w:fldChar w:fldCharType="end"/>
      </w:r>
      <w:r w:rsidR="00C31635" w:rsidRPr="00467C54">
        <w:rPr>
          <w:rFonts w:asciiTheme="majorHAnsi" w:hAnsiTheme="majorHAnsi" w:cstheme="minorHAnsi"/>
        </w:rPr>
        <w:t xml:space="preserve"> (p6)</w:t>
      </w:r>
      <w:r w:rsidR="005C0BAA" w:rsidRPr="00467C54">
        <w:rPr>
          <w:rFonts w:asciiTheme="majorHAnsi" w:hAnsiTheme="majorHAnsi" w:cstheme="minorHAnsi"/>
        </w:rPr>
        <w:t>:</w:t>
      </w:r>
    </w:p>
    <w:p w:rsidR="005C0BAA" w:rsidRPr="00467C54" w:rsidRDefault="005C0BAA" w:rsidP="005A0156">
      <w:pPr>
        <w:spacing w:before="100" w:beforeAutospacing="1" w:after="100" w:afterAutospacing="1"/>
        <w:ind w:left="720"/>
        <w:rPr>
          <w:rFonts w:asciiTheme="majorHAnsi" w:hAnsiTheme="majorHAnsi" w:cstheme="minorHAnsi"/>
          <w:i/>
        </w:rPr>
      </w:pPr>
      <w:r w:rsidRPr="00467C54">
        <w:rPr>
          <w:rFonts w:asciiTheme="majorHAnsi" w:hAnsiTheme="majorHAnsi" w:cs="ITC Avant Garde Std XLt"/>
          <w:i/>
          <w:color w:val="000000"/>
        </w:rPr>
        <w:t>We already know from extensive research about the links between staff engagement and enhanced organisational performance.</w:t>
      </w:r>
    </w:p>
    <w:p w:rsidR="00390E4E" w:rsidRPr="00467C54" w:rsidRDefault="00C31635" w:rsidP="005A0156">
      <w:pPr>
        <w:spacing w:before="100" w:beforeAutospacing="1" w:after="100" w:afterAutospacing="1"/>
        <w:rPr>
          <w:rFonts w:asciiTheme="majorHAnsi" w:hAnsiTheme="majorHAnsi" w:cstheme="minorHAnsi"/>
        </w:rPr>
      </w:pPr>
      <w:r w:rsidRPr="00467C54">
        <w:rPr>
          <w:rFonts w:asciiTheme="majorHAnsi" w:hAnsiTheme="majorHAnsi" w:cstheme="minorHAnsi"/>
        </w:rPr>
        <w:t xml:space="preserve">This translates to the </w:t>
      </w:r>
      <w:r w:rsidR="009313A6" w:rsidRPr="00467C54">
        <w:rPr>
          <w:rFonts w:asciiTheme="majorHAnsi" w:hAnsiTheme="majorHAnsi" w:cstheme="minorHAnsi"/>
        </w:rPr>
        <w:t>following Healthcare</w:t>
      </w:r>
      <w:r w:rsidRPr="00467C54">
        <w:rPr>
          <w:rFonts w:asciiTheme="majorHAnsi" w:hAnsiTheme="majorHAnsi" w:cstheme="minorHAnsi"/>
        </w:rPr>
        <w:t xml:space="preserve"> </w:t>
      </w:r>
      <w:r w:rsidR="003B646C" w:rsidRPr="00467C54">
        <w:rPr>
          <w:rFonts w:asciiTheme="majorHAnsi" w:hAnsiTheme="majorHAnsi" w:cstheme="minorHAnsi"/>
        </w:rPr>
        <w:t>Quality Outcome</w:t>
      </w:r>
      <w:r w:rsidRPr="00467C54">
        <w:rPr>
          <w:rFonts w:asciiTheme="majorHAnsi" w:hAnsiTheme="majorHAnsi" w:cstheme="minorHAnsi"/>
        </w:rPr>
        <w:t xml:space="preserve"> as articulated in NHS</w:t>
      </w:r>
      <w:r w:rsidR="003D0D9F">
        <w:rPr>
          <w:rFonts w:asciiTheme="majorHAnsi" w:hAnsiTheme="majorHAnsi" w:cstheme="minorHAnsi"/>
        </w:rPr>
        <w:t xml:space="preserve"> </w:t>
      </w:r>
      <w:r w:rsidRPr="00467C54">
        <w:rPr>
          <w:rFonts w:asciiTheme="majorHAnsi" w:hAnsiTheme="majorHAnsi" w:cstheme="minorHAnsi"/>
        </w:rPr>
        <w:t>Scotland Chief Executive’s annual report 2011/12</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"The Scottish Government", "given" : "" } ], "id" : "ITEM-1", "issued" : { "date-parts" : [ [ "2012" ] ] }, "note" : "&lt;m:note/&gt;", "title" : "NHSScotland Chief Executive's Annual Report", "type" : "report" }, "uris" : [ "http://www.mendeley.com/documents/?uuid=073e0864-c623-493d-af21-02de723b2e39" ] } ], "mendeley" : { "previouslyFormattedCitation" : "&lt;sup&gt;8&lt;/sup&gt;"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8</w:t>
      </w:r>
      <w:r w:rsidR="006F6711" w:rsidRPr="00467C54">
        <w:rPr>
          <w:rFonts w:asciiTheme="majorHAnsi" w:hAnsiTheme="majorHAnsi" w:cstheme="minorHAnsi"/>
        </w:rPr>
        <w:fldChar w:fldCharType="end"/>
      </w:r>
      <w:r w:rsidRPr="00467C54">
        <w:rPr>
          <w:rFonts w:asciiTheme="majorHAnsi" w:hAnsiTheme="majorHAnsi" w:cstheme="minorHAnsi"/>
        </w:rPr>
        <w:t xml:space="preserve"> </w:t>
      </w:r>
      <w:r w:rsidR="009B1F1E" w:rsidRPr="00467C54">
        <w:rPr>
          <w:rFonts w:asciiTheme="majorHAnsi" w:hAnsiTheme="majorHAnsi" w:cstheme="minorHAnsi"/>
        </w:rPr>
        <w:t>(p9)</w:t>
      </w:r>
      <w:r w:rsidR="005C0BAA" w:rsidRPr="00467C54">
        <w:rPr>
          <w:rFonts w:asciiTheme="majorHAnsi" w:hAnsiTheme="majorHAnsi" w:cstheme="minorHAnsi"/>
        </w:rPr>
        <w:t xml:space="preserve"> </w:t>
      </w:r>
      <w:r w:rsidR="00390E4E" w:rsidRPr="00467C54">
        <w:rPr>
          <w:rFonts w:asciiTheme="majorHAnsi" w:hAnsiTheme="majorHAnsi" w:cstheme="minorHAnsi"/>
        </w:rPr>
        <w:t>:</w:t>
      </w:r>
    </w:p>
    <w:p w:rsidR="00390E4E" w:rsidRPr="00467C54" w:rsidRDefault="00390E4E" w:rsidP="005A0156">
      <w:pPr>
        <w:autoSpaceDE w:val="0"/>
        <w:autoSpaceDN w:val="0"/>
        <w:adjustRightInd w:val="0"/>
        <w:ind w:left="720"/>
        <w:rPr>
          <w:rFonts w:asciiTheme="majorHAnsi" w:hAnsiTheme="majorHAnsi" w:cstheme="minorHAnsi"/>
          <w:b/>
          <w:lang w:eastAsia="en-GB"/>
        </w:rPr>
      </w:pPr>
      <w:r w:rsidRPr="00467C54">
        <w:rPr>
          <w:rFonts w:asciiTheme="majorHAnsi" w:hAnsiTheme="majorHAnsi" w:cstheme="minorHAnsi"/>
          <w:b/>
          <w:lang w:eastAsia="en-GB"/>
        </w:rPr>
        <w:t>Staff feel supported and engaged</w:t>
      </w:r>
    </w:p>
    <w:p w:rsidR="00390E4E" w:rsidRPr="00467C54" w:rsidRDefault="00390E4E" w:rsidP="005A0156">
      <w:pPr>
        <w:autoSpaceDE w:val="0"/>
        <w:autoSpaceDN w:val="0"/>
        <w:adjustRightInd w:val="0"/>
        <w:ind w:left="720"/>
        <w:rPr>
          <w:rFonts w:asciiTheme="majorHAnsi" w:hAnsiTheme="majorHAnsi" w:cstheme="minorHAnsi"/>
          <w:i/>
          <w:lang w:eastAsia="en-GB"/>
        </w:rPr>
      </w:pPr>
      <w:r w:rsidRPr="00467C54">
        <w:rPr>
          <w:rFonts w:asciiTheme="majorHAnsi" w:hAnsiTheme="majorHAnsi" w:cstheme="minorHAnsi"/>
          <w:i/>
          <w:lang w:eastAsia="en-GB"/>
        </w:rPr>
        <w:t>Staff throughout</w:t>
      </w:r>
      <w:r w:rsidR="003D0D9F">
        <w:rPr>
          <w:rFonts w:asciiTheme="majorHAnsi" w:hAnsiTheme="majorHAnsi" w:cstheme="minorHAnsi"/>
          <w:i/>
          <w:lang w:eastAsia="en-GB"/>
        </w:rPr>
        <w:t xml:space="preserve"> N.H.S.Scotland </w:t>
      </w:r>
      <w:r w:rsidRPr="00467C54">
        <w:rPr>
          <w:rFonts w:asciiTheme="majorHAnsi" w:hAnsiTheme="majorHAnsi" w:cstheme="minorHAnsi"/>
          <w:i/>
          <w:lang w:eastAsia="en-GB"/>
        </w:rPr>
        <w:t>, and by extension, their public and third sector partners, feel supported and engaged, enabling them to provide high quality care to all patients, and to improve and innovate.</w:t>
      </w:r>
    </w:p>
    <w:p w:rsidR="00390E4E" w:rsidRPr="00467C54" w:rsidRDefault="00390E4E" w:rsidP="005A0156">
      <w:pPr>
        <w:autoSpaceDE w:val="0"/>
        <w:autoSpaceDN w:val="0"/>
        <w:adjustRightInd w:val="0"/>
        <w:rPr>
          <w:rFonts w:asciiTheme="majorHAnsi" w:hAnsiTheme="majorHAnsi" w:cs="Arial"/>
          <w:i/>
          <w:lang w:eastAsia="en-GB"/>
        </w:rPr>
      </w:pPr>
    </w:p>
    <w:p w:rsidR="001F71B4" w:rsidRPr="00467C54" w:rsidRDefault="00E643CE" w:rsidP="005A0156">
      <w:pPr>
        <w:rPr>
          <w:rFonts w:asciiTheme="majorHAnsi" w:hAnsiTheme="majorHAnsi" w:cstheme="minorHAnsi"/>
        </w:rPr>
      </w:pPr>
      <w:r w:rsidRPr="00467C54">
        <w:rPr>
          <w:rFonts w:asciiTheme="majorHAnsi" w:hAnsiTheme="majorHAnsi" w:cstheme="minorHAnsi"/>
        </w:rPr>
        <w:t>The timeliness of this project</w:t>
      </w:r>
      <w:r w:rsidR="001B0018" w:rsidRPr="00467C54">
        <w:rPr>
          <w:rFonts w:asciiTheme="majorHAnsi" w:hAnsiTheme="majorHAnsi" w:cstheme="minorHAnsi"/>
        </w:rPr>
        <w:t>, particularly</w:t>
      </w:r>
      <w:r w:rsidRPr="00467C54">
        <w:rPr>
          <w:rFonts w:asciiTheme="majorHAnsi" w:hAnsiTheme="majorHAnsi" w:cstheme="minorHAnsi"/>
        </w:rPr>
        <w:t xml:space="preserve"> in the wake of the </w:t>
      </w:r>
      <w:r w:rsidR="003160F7" w:rsidRPr="00467C54">
        <w:rPr>
          <w:rFonts w:asciiTheme="majorHAnsi" w:hAnsiTheme="majorHAnsi" w:cstheme="minorHAnsi"/>
        </w:rPr>
        <w:t>Franci</w:t>
      </w:r>
      <w:r w:rsidRPr="00467C54">
        <w:rPr>
          <w:rFonts w:asciiTheme="majorHAnsi" w:hAnsiTheme="majorHAnsi" w:cstheme="minorHAnsi"/>
        </w:rPr>
        <w:t>s report</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"ISBN" : "9780102981476", "author" : [ { "family" : "Francis", "given" : "Robert" } ], "id" : "ITEM-1", "issued" : { "date-parts" : [ [ "2013" ] ] }, "note" : "&lt;m:note&gt;&lt;/m:note&gt;", "publisher-place" : "London", "title" : "Report of the Mid Staffordshire NHS Foundation Trust Public Inquiry Executive summary", "type" : "report" }, "uris" : [ "http://www.mendeley.com/documents/?uuid=b16b67a0-ee06-4105-916d-811a09e4d800" ] } ], "mendeley" : { "previouslyFormattedCitation" : "&lt;sup&gt;2&lt;/sup&gt;"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2</w:t>
      </w:r>
      <w:r w:rsidR="006F6711" w:rsidRPr="00467C54">
        <w:rPr>
          <w:rFonts w:asciiTheme="majorHAnsi" w:hAnsiTheme="majorHAnsi" w:cstheme="minorHAnsi"/>
        </w:rPr>
        <w:fldChar w:fldCharType="end"/>
      </w:r>
      <w:r w:rsidRPr="00467C54">
        <w:rPr>
          <w:rFonts w:asciiTheme="majorHAnsi" w:hAnsiTheme="majorHAnsi" w:cstheme="minorHAnsi"/>
        </w:rPr>
        <w:t xml:space="preserve"> cannot be overstated. A robust metric of staff engagement generated by the staff themselves is entirely coherent with the recommendations of that report. The NHS</w:t>
      </w:r>
      <w:r w:rsidR="003D0D9F">
        <w:rPr>
          <w:rFonts w:asciiTheme="majorHAnsi" w:hAnsiTheme="majorHAnsi" w:cstheme="minorHAnsi"/>
        </w:rPr>
        <w:t xml:space="preserve"> </w:t>
      </w:r>
      <w:r w:rsidRPr="00467C54">
        <w:rPr>
          <w:rFonts w:asciiTheme="majorHAnsi" w:hAnsiTheme="majorHAnsi" w:cstheme="minorHAnsi"/>
        </w:rPr>
        <w:t>Scotland Employee Engagement Index (N</w:t>
      </w:r>
      <w:r w:rsidR="001B0018" w:rsidRPr="00467C54">
        <w:rPr>
          <w:rFonts w:asciiTheme="majorHAnsi" w:hAnsiTheme="majorHAnsi" w:cstheme="minorHAnsi"/>
        </w:rPr>
        <w:t>H</w:t>
      </w:r>
      <w:r w:rsidRPr="00467C54">
        <w:rPr>
          <w:rFonts w:asciiTheme="majorHAnsi" w:hAnsiTheme="majorHAnsi" w:cstheme="minorHAnsi"/>
        </w:rPr>
        <w:t>SEEI) has been designed to</w:t>
      </w:r>
      <w:r w:rsidR="00AD3A3E" w:rsidRPr="00467C54">
        <w:rPr>
          <w:rFonts w:asciiTheme="majorHAnsi" w:hAnsiTheme="majorHAnsi" w:cstheme="minorHAnsi"/>
        </w:rPr>
        <w:t xml:space="preserve"> provide empirical data in support of the above agenda. T</w:t>
      </w:r>
      <w:r w:rsidR="00390E4E" w:rsidRPr="00467C54">
        <w:rPr>
          <w:rFonts w:asciiTheme="majorHAnsi" w:hAnsiTheme="majorHAnsi" w:cstheme="minorHAnsi"/>
        </w:rPr>
        <w:t xml:space="preserve">his </w:t>
      </w:r>
      <w:r w:rsidR="005E5BC2" w:rsidRPr="00467C54">
        <w:rPr>
          <w:rFonts w:asciiTheme="majorHAnsi" w:hAnsiTheme="majorHAnsi" w:cstheme="minorHAnsi"/>
        </w:rPr>
        <w:t xml:space="preserve">evaluative </w:t>
      </w:r>
      <w:r w:rsidR="00390E4E" w:rsidRPr="00467C54">
        <w:rPr>
          <w:rFonts w:asciiTheme="majorHAnsi" w:hAnsiTheme="majorHAnsi" w:cstheme="minorHAnsi"/>
        </w:rPr>
        <w:t xml:space="preserve">aspect of the project was </w:t>
      </w:r>
      <w:r w:rsidR="006A500E" w:rsidRPr="00467C54">
        <w:rPr>
          <w:rFonts w:asciiTheme="majorHAnsi" w:hAnsiTheme="majorHAnsi" w:cstheme="minorHAnsi"/>
        </w:rPr>
        <w:t>tasked with utilising</w:t>
      </w:r>
      <w:r w:rsidR="00AD3A3E" w:rsidRPr="00467C54">
        <w:rPr>
          <w:rFonts w:asciiTheme="majorHAnsi" w:hAnsiTheme="majorHAnsi" w:cstheme="minorHAnsi"/>
        </w:rPr>
        <w:t xml:space="preserve"> psychometrics to </w:t>
      </w:r>
      <w:r w:rsidR="00390E4E" w:rsidRPr="00467C54">
        <w:rPr>
          <w:rFonts w:asciiTheme="majorHAnsi" w:hAnsiTheme="majorHAnsi" w:cstheme="minorHAnsi"/>
        </w:rPr>
        <w:t xml:space="preserve">establish to what extent the latest version of the </w:t>
      </w:r>
      <w:r w:rsidR="001B0018" w:rsidRPr="00467C54">
        <w:rPr>
          <w:rFonts w:asciiTheme="majorHAnsi" w:hAnsiTheme="majorHAnsi" w:cstheme="minorHAnsi"/>
        </w:rPr>
        <w:t>NHSEEI</w:t>
      </w:r>
      <w:r w:rsidR="00390E4E" w:rsidRPr="00467C54">
        <w:rPr>
          <w:rFonts w:asciiTheme="majorHAnsi" w:hAnsiTheme="majorHAnsi" w:cstheme="minorHAnsi"/>
        </w:rPr>
        <w:t xml:space="preserve"> actually measured staff engagement.</w:t>
      </w:r>
      <w:r w:rsidR="001F71B4" w:rsidRPr="00467C54">
        <w:rPr>
          <w:rFonts w:asciiTheme="majorHAnsi" w:hAnsiTheme="majorHAnsi" w:cstheme="minorHAnsi"/>
        </w:rPr>
        <w:t xml:space="preserve"> </w:t>
      </w:r>
    </w:p>
    <w:p w:rsidR="001F71B4" w:rsidRPr="00467C54" w:rsidRDefault="001F71B4" w:rsidP="005A0156">
      <w:pPr>
        <w:rPr>
          <w:rFonts w:asciiTheme="majorHAnsi" w:hAnsiTheme="majorHAnsi" w:cstheme="minorHAnsi"/>
        </w:rPr>
      </w:pPr>
    </w:p>
    <w:p w:rsidR="004415CB" w:rsidRPr="00467C54" w:rsidRDefault="00CB2EC8" w:rsidP="005A0156">
      <w:pPr>
        <w:rPr>
          <w:rFonts w:asciiTheme="majorHAnsi" w:hAnsiTheme="majorHAnsi" w:cstheme="minorHAnsi"/>
        </w:rPr>
      </w:pPr>
      <w:r w:rsidRPr="00467C54">
        <w:rPr>
          <w:rFonts w:asciiTheme="majorHAnsi" w:hAnsiTheme="majorHAnsi" w:cstheme="minorHAnsi"/>
        </w:rPr>
        <w:t xml:space="preserve">Early indications were very promising. </w:t>
      </w:r>
      <w:r w:rsidR="001F71B4" w:rsidRPr="00467C54">
        <w:rPr>
          <w:rFonts w:asciiTheme="majorHAnsi" w:hAnsiTheme="majorHAnsi" w:cstheme="minorHAnsi"/>
        </w:rPr>
        <w:t xml:space="preserve">In December 2012 we </w:t>
      </w:r>
      <w:r w:rsidR="00E643CE" w:rsidRPr="00467C54">
        <w:rPr>
          <w:rFonts w:asciiTheme="majorHAnsi" w:hAnsiTheme="majorHAnsi" w:cstheme="minorHAnsi"/>
        </w:rPr>
        <w:t>delivered an interim report</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"Snowden", "given" : "A." }, { "family" : "MacArthur", "given" : "E." } ], "id" : "ITEM-1", "issued" : { "date-parts" : [ [ "2013" ] ] }, "note" : "&lt;m:note/&gt;", "page" : "40", "title" : "Validation of the NHS Scotland Employee Engagement Index: Interim Report", "type" : "report" }, "uris" : [ "http://www.mendeley.com/documents/?uuid=ba044000-5d26-48d5-a1b1-701360c496ad" ] } ], "mendeley" : { "previouslyFormattedCitation" : "&lt;sup&gt;1&lt;/sup&gt;"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w:t>
      </w:r>
      <w:r w:rsidR="006F6711" w:rsidRPr="00467C54">
        <w:rPr>
          <w:rFonts w:asciiTheme="majorHAnsi" w:hAnsiTheme="majorHAnsi" w:cstheme="minorHAnsi"/>
        </w:rPr>
        <w:fldChar w:fldCharType="end"/>
      </w:r>
      <w:r w:rsidR="00E643CE" w:rsidRPr="00467C54">
        <w:rPr>
          <w:rFonts w:asciiTheme="majorHAnsi" w:hAnsiTheme="majorHAnsi" w:cstheme="minorHAnsi"/>
        </w:rPr>
        <w:t xml:space="preserve"> based on</w:t>
      </w:r>
      <w:r w:rsidRPr="00467C54">
        <w:rPr>
          <w:rFonts w:asciiTheme="majorHAnsi" w:hAnsiTheme="majorHAnsi" w:cstheme="minorHAnsi"/>
        </w:rPr>
        <w:t xml:space="preserve"> feedback and factor analyses of previous pilot data</w:t>
      </w:r>
      <w:r w:rsidR="001F71B4" w:rsidRPr="00467C54">
        <w:rPr>
          <w:rFonts w:asciiTheme="majorHAnsi" w:hAnsiTheme="majorHAnsi" w:cstheme="minorHAnsi"/>
        </w:rPr>
        <w:t xml:space="preserve">. </w:t>
      </w:r>
      <w:r w:rsidR="001F71B4" w:rsidRPr="00467C54">
        <w:rPr>
          <w:rFonts w:asciiTheme="majorHAnsi" w:hAnsiTheme="majorHAnsi"/>
        </w:rPr>
        <w:t xml:space="preserve">From this analysis a </w:t>
      </w:r>
      <w:r w:rsidR="009313A6" w:rsidRPr="00467C54">
        <w:rPr>
          <w:rFonts w:asciiTheme="majorHAnsi" w:hAnsiTheme="majorHAnsi"/>
        </w:rPr>
        <w:t>five-factor</w:t>
      </w:r>
      <w:r w:rsidR="001F71B4" w:rsidRPr="00467C54">
        <w:rPr>
          <w:rFonts w:asciiTheme="majorHAnsi" w:hAnsiTheme="majorHAnsi"/>
        </w:rPr>
        <w:t xml:space="preserve"> structure emerged </w:t>
      </w:r>
      <w:r w:rsidRPr="00467C54">
        <w:rPr>
          <w:rFonts w:asciiTheme="majorHAnsi" w:hAnsiTheme="majorHAnsi" w:cstheme="minorHAnsi"/>
        </w:rPr>
        <w:t xml:space="preserve">congruent with the underpinning theory of the questionnaire. That is, it was built from staff governance standards, the Macleod enablers, </w:t>
      </w:r>
      <w:r w:rsidR="004415CB" w:rsidRPr="00467C54">
        <w:rPr>
          <w:rFonts w:asciiTheme="majorHAnsi" w:hAnsiTheme="majorHAnsi" w:cstheme="minorHAnsi"/>
        </w:rPr>
        <w:t xml:space="preserve">KSF core dimensions and the Health Care Quality ambitions (see figure 1). That these </w:t>
      </w:r>
      <w:r w:rsidR="008F43DB" w:rsidRPr="00467C54">
        <w:rPr>
          <w:rFonts w:asciiTheme="majorHAnsi" w:hAnsiTheme="majorHAnsi" w:cstheme="minorHAnsi"/>
        </w:rPr>
        <w:t xml:space="preserve">principles </w:t>
      </w:r>
      <w:r w:rsidR="004415CB" w:rsidRPr="00467C54">
        <w:rPr>
          <w:rFonts w:asciiTheme="majorHAnsi" w:hAnsiTheme="majorHAnsi" w:cstheme="minorHAnsi"/>
        </w:rPr>
        <w:t xml:space="preserve">had been translated into meaningful questionnaire items by participating staff and the project team was a sign that </w:t>
      </w:r>
    </w:p>
    <w:p w:rsidR="00471100" w:rsidRPr="00467C54" w:rsidRDefault="00471100" w:rsidP="005A0156">
      <w:pPr>
        <w:rPr>
          <w:rFonts w:asciiTheme="majorHAnsi" w:hAnsiTheme="majorHAnsi" w:cstheme="minorHAnsi"/>
        </w:rPr>
      </w:pPr>
    </w:p>
    <w:p w:rsidR="004415CB" w:rsidRPr="00467C54" w:rsidRDefault="004415CB" w:rsidP="005A0156">
      <w:pPr>
        <w:pStyle w:val="ListParagraph"/>
        <w:numPr>
          <w:ilvl w:val="0"/>
          <w:numId w:val="24"/>
        </w:numPr>
        <w:rPr>
          <w:rFonts w:asciiTheme="majorHAnsi" w:hAnsiTheme="majorHAnsi" w:cstheme="minorHAnsi"/>
        </w:rPr>
      </w:pPr>
      <w:r w:rsidRPr="00467C54">
        <w:rPr>
          <w:rFonts w:asciiTheme="majorHAnsi" w:hAnsiTheme="majorHAnsi" w:cstheme="minorHAnsi"/>
        </w:rPr>
        <w:t xml:space="preserve">the embedding principles were present as factors within the questionnaire, and </w:t>
      </w:r>
    </w:p>
    <w:p w:rsidR="006B2542" w:rsidRPr="00467C54" w:rsidRDefault="004415CB" w:rsidP="005A0156">
      <w:pPr>
        <w:pStyle w:val="ListParagraph"/>
        <w:numPr>
          <w:ilvl w:val="0"/>
          <w:numId w:val="24"/>
        </w:numPr>
        <w:rPr>
          <w:rFonts w:asciiTheme="majorHAnsi" w:hAnsiTheme="majorHAnsi" w:cstheme="minorHAnsi"/>
        </w:rPr>
      </w:pPr>
      <w:r w:rsidRPr="00467C54">
        <w:rPr>
          <w:rFonts w:asciiTheme="majorHAnsi" w:hAnsiTheme="majorHAnsi" w:cstheme="minorHAnsi"/>
        </w:rPr>
        <w:t>the questionnaire items themselves were meaningful components of these principles to the staff that filled in the questionnaire</w:t>
      </w:r>
    </w:p>
    <w:p w:rsidR="006B2542" w:rsidRPr="00467C54" w:rsidRDefault="006B2542" w:rsidP="005A0156">
      <w:pPr>
        <w:rPr>
          <w:rFonts w:asciiTheme="majorHAnsi" w:hAnsiTheme="majorHAnsi" w:cstheme="minorHAnsi"/>
        </w:rPr>
      </w:pPr>
    </w:p>
    <w:p w:rsidR="00CB2EC8" w:rsidRPr="00467C54" w:rsidRDefault="00A34412" w:rsidP="005A0156">
      <w:pPr>
        <w:rPr>
          <w:rFonts w:asciiTheme="majorHAnsi" w:hAnsiTheme="majorHAnsi" w:cstheme="minorHAnsi"/>
        </w:rPr>
      </w:pPr>
      <w:r w:rsidRPr="00467C54">
        <w:rPr>
          <w:rFonts w:asciiTheme="majorHAnsi" w:hAnsiTheme="majorHAnsi" w:cstheme="minorHAnsi"/>
        </w:rPr>
        <w:t>However, in the interim report</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"Snowden", "given" : "A." }, { "family" : "MacArthur", "given" : "E." } ], "id" : "ITEM-1", "issued" : { "date-parts" : [ [ "2013" ] ] }, "note" : "&lt;m:note/&gt;", "page" : "40", "title" : "Validation of the NHS Scotland Employee Engagement Index: Interim Report", "type" : "report" }, "uris" : [ "http://www.mendeley.com/documents/?uuid=ba044000-5d26-48d5-a1b1-701360c496ad" ] } ], "mendeley" : { "previouslyFormattedCitation" : "&lt;sup&gt;1&lt;/sup&gt;"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w:t>
      </w:r>
      <w:r w:rsidR="006F6711" w:rsidRPr="00467C54">
        <w:rPr>
          <w:rFonts w:asciiTheme="majorHAnsi" w:hAnsiTheme="majorHAnsi" w:cstheme="minorHAnsi"/>
        </w:rPr>
        <w:fldChar w:fldCharType="end"/>
      </w:r>
      <w:r w:rsidRPr="00467C54">
        <w:rPr>
          <w:rFonts w:asciiTheme="majorHAnsi" w:hAnsiTheme="majorHAnsi" w:cstheme="minorHAnsi"/>
        </w:rPr>
        <w:t xml:space="preserve"> we observed that some</w:t>
      </w:r>
      <w:r w:rsidR="001B4302" w:rsidRPr="00467C54">
        <w:rPr>
          <w:rFonts w:asciiTheme="majorHAnsi" w:hAnsiTheme="majorHAnsi" w:cstheme="minorHAnsi"/>
        </w:rPr>
        <w:t xml:space="preserve"> </w:t>
      </w:r>
      <w:r w:rsidR="001B0018" w:rsidRPr="00467C54">
        <w:rPr>
          <w:rFonts w:asciiTheme="majorHAnsi" w:hAnsiTheme="majorHAnsi" w:cstheme="minorHAnsi"/>
        </w:rPr>
        <w:t>NHSEEI</w:t>
      </w:r>
      <w:r w:rsidR="001B4302" w:rsidRPr="00467C54">
        <w:rPr>
          <w:rFonts w:asciiTheme="majorHAnsi" w:hAnsiTheme="majorHAnsi" w:cstheme="minorHAnsi"/>
        </w:rPr>
        <w:t xml:space="preserve"> </w:t>
      </w:r>
      <w:r w:rsidRPr="00467C54">
        <w:rPr>
          <w:rFonts w:asciiTheme="majorHAnsi" w:hAnsiTheme="majorHAnsi" w:cstheme="minorHAnsi"/>
        </w:rPr>
        <w:t xml:space="preserve"> items did not f</w:t>
      </w:r>
      <w:r w:rsidR="00AB6CEC" w:rsidRPr="00467C54">
        <w:rPr>
          <w:rFonts w:asciiTheme="majorHAnsi" w:hAnsiTheme="majorHAnsi" w:cstheme="minorHAnsi"/>
        </w:rPr>
        <w:t>it into these factors as well as others.</w:t>
      </w:r>
      <w:r w:rsidRPr="00467C54">
        <w:rPr>
          <w:rFonts w:asciiTheme="majorHAnsi" w:hAnsiTheme="majorHAnsi" w:cstheme="minorHAnsi"/>
        </w:rPr>
        <w:t xml:space="preserve"> </w:t>
      </w:r>
      <w:r w:rsidR="008F43DB" w:rsidRPr="00467C54">
        <w:rPr>
          <w:rFonts w:asciiTheme="majorHAnsi" w:hAnsiTheme="majorHAnsi" w:cstheme="minorHAnsi"/>
        </w:rPr>
        <w:t>B</w:t>
      </w:r>
      <w:r w:rsidR="006B2542" w:rsidRPr="00467C54">
        <w:rPr>
          <w:rFonts w:asciiTheme="majorHAnsi" w:hAnsiTheme="majorHAnsi" w:cstheme="minorHAnsi"/>
        </w:rPr>
        <w:t>ecause of the relatively small sample size we were unable to recommend excluding these less well fitting items as poor fit could have been an artefact of the particular staff sample.</w:t>
      </w:r>
      <w:r w:rsidR="001B4302" w:rsidRPr="00467C54">
        <w:rPr>
          <w:rFonts w:asciiTheme="majorHAnsi" w:hAnsiTheme="majorHAnsi" w:cstheme="minorHAnsi"/>
        </w:rPr>
        <w:t xml:space="preserve"> Therefore the only key </w:t>
      </w:r>
      <w:r w:rsidR="009313A6" w:rsidRPr="00467C54">
        <w:rPr>
          <w:rFonts w:asciiTheme="majorHAnsi" w:hAnsiTheme="majorHAnsi" w:cstheme="minorHAnsi"/>
        </w:rPr>
        <w:t>recommendation for change that we made in the interim report</w:t>
      </w:r>
      <w:r w:rsidR="001B4302" w:rsidRPr="00467C54">
        <w:rPr>
          <w:rFonts w:asciiTheme="majorHAnsi" w:hAnsiTheme="majorHAnsi" w:cstheme="minorHAnsi"/>
        </w:rPr>
        <w:t xml:space="preserve"> was for some items to be reversed to avoid participants simply entering the s</w:t>
      </w:r>
      <w:r w:rsidR="008F43DB" w:rsidRPr="00467C54">
        <w:rPr>
          <w:rFonts w:asciiTheme="majorHAnsi" w:hAnsiTheme="majorHAnsi" w:cstheme="minorHAnsi"/>
        </w:rPr>
        <w:t>ame response for all items. The purpose of this was to</w:t>
      </w:r>
      <w:r w:rsidR="001B4302" w:rsidRPr="00467C54">
        <w:rPr>
          <w:rFonts w:asciiTheme="majorHAnsi" w:hAnsiTheme="majorHAnsi" w:cstheme="minorHAnsi"/>
        </w:rPr>
        <w:t xml:space="preserve"> offer a check on data quality whilst leaving the putative factor structure intact for further testing. </w:t>
      </w:r>
      <w:r w:rsidR="006B2542" w:rsidRPr="00467C54">
        <w:rPr>
          <w:rFonts w:asciiTheme="majorHAnsi" w:hAnsiTheme="majorHAnsi" w:cstheme="minorHAnsi"/>
        </w:rPr>
        <w:t xml:space="preserve"> </w:t>
      </w:r>
    </w:p>
    <w:p w:rsidR="00CB2EC8" w:rsidRPr="00467C54" w:rsidRDefault="00CB2EC8" w:rsidP="005A0156">
      <w:pPr>
        <w:rPr>
          <w:rFonts w:asciiTheme="majorHAnsi" w:hAnsiTheme="majorHAnsi" w:cstheme="minorHAnsi"/>
        </w:rPr>
      </w:pPr>
    </w:p>
    <w:p w:rsidR="006E2061" w:rsidRPr="00467C54" w:rsidRDefault="006E2061" w:rsidP="005A0156">
      <w:pPr>
        <w:rPr>
          <w:rFonts w:asciiTheme="majorHAnsi" w:hAnsiTheme="majorHAnsi" w:cstheme="minorHAnsi"/>
        </w:rPr>
      </w:pPr>
      <w:r w:rsidRPr="00467C54">
        <w:rPr>
          <w:rFonts w:asciiTheme="majorHAnsi" w:hAnsiTheme="majorHAnsi" w:cstheme="minorHAnsi"/>
        </w:rPr>
        <w:t>The other recommendation taken up from the interim report was the inclusion of a single scale measure associated with the following stem:  ‘</w:t>
      </w:r>
      <w:r w:rsidRPr="00467C54">
        <w:rPr>
          <w:rFonts w:asciiTheme="majorHAnsi" w:hAnsiTheme="majorHAnsi" w:cstheme="minorHAnsi"/>
          <w:i/>
        </w:rPr>
        <w:t>overall, working within my organisation</w:t>
      </w:r>
      <w:r w:rsidRPr="00467C54">
        <w:rPr>
          <w:rFonts w:asciiTheme="majorHAnsi" w:hAnsiTheme="majorHAnsi" w:cstheme="minorHAnsi"/>
        </w:rPr>
        <w:t>’ followed by an 11 point scale ranging from ‘</w:t>
      </w:r>
      <w:r w:rsidRPr="00467C54">
        <w:rPr>
          <w:rFonts w:asciiTheme="majorHAnsi" w:hAnsiTheme="majorHAnsi" w:cstheme="minorHAnsi"/>
          <w:i/>
        </w:rPr>
        <w:t>is a very good experience</w:t>
      </w:r>
      <w:r w:rsidRPr="00467C54">
        <w:rPr>
          <w:rFonts w:asciiTheme="majorHAnsi" w:hAnsiTheme="majorHAnsi" w:cstheme="minorHAnsi"/>
        </w:rPr>
        <w:t>’ (10) to ‘</w:t>
      </w:r>
      <w:r w:rsidRPr="00467C54">
        <w:rPr>
          <w:rFonts w:asciiTheme="majorHAnsi" w:hAnsiTheme="majorHAnsi" w:cstheme="minorHAnsi"/>
          <w:i/>
        </w:rPr>
        <w:t>is a very poor experience</w:t>
      </w:r>
      <w:r w:rsidRPr="00467C54">
        <w:rPr>
          <w:rFonts w:asciiTheme="majorHAnsi" w:hAnsiTheme="majorHAnsi" w:cstheme="minorHAnsi"/>
        </w:rPr>
        <w:t xml:space="preserve">’ (0). The purpose of this was to ascertain any correlation between this one scale item and the overall score on the engagement index. If </w:t>
      </w:r>
      <w:r w:rsidR="009313A6" w:rsidRPr="00467C54">
        <w:rPr>
          <w:rFonts w:asciiTheme="majorHAnsi" w:hAnsiTheme="majorHAnsi" w:cstheme="minorHAnsi"/>
        </w:rPr>
        <w:t xml:space="preserve">a correlation was </w:t>
      </w:r>
      <w:r w:rsidRPr="00467C54">
        <w:rPr>
          <w:rFonts w:asciiTheme="majorHAnsi" w:hAnsiTheme="majorHAnsi" w:cstheme="minorHAnsi"/>
        </w:rPr>
        <w:t xml:space="preserve">found it </w:t>
      </w:r>
      <w:r w:rsidR="00C1332F" w:rsidRPr="00467C54">
        <w:rPr>
          <w:rFonts w:asciiTheme="majorHAnsi" w:hAnsiTheme="majorHAnsi" w:cstheme="minorHAnsi"/>
        </w:rPr>
        <w:t>c</w:t>
      </w:r>
      <w:r w:rsidR="008F43DB" w:rsidRPr="00467C54">
        <w:rPr>
          <w:rFonts w:asciiTheme="majorHAnsi" w:hAnsiTheme="majorHAnsi" w:cstheme="minorHAnsi"/>
        </w:rPr>
        <w:t>ould provid</w:t>
      </w:r>
      <w:r w:rsidRPr="00467C54">
        <w:rPr>
          <w:rFonts w:asciiTheme="majorHAnsi" w:hAnsiTheme="majorHAnsi" w:cstheme="minorHAnsi"/>
        </w:rPr>
        <w:t xml:space="preserve">e a useful standalone metric of engagement following completion of the questionnaire. </w:t>
      </w:r>
    </w:p>
    <w:p w:rsidR="006E2061" w:rsidRPr="00467C54" w:rsidRDefault="006E2061" w:rsidP="005A0156">
      <w:pPr>
        <w:rPr>
          <w:rFonts w:asciiTheme="majorHAnsi" w:hAnsiTheme="majorHAnsi" w:cstheme="minorHAnsi"/>
        </w:rPr>
      </w:pPr>
    </w:p>
    <w:p w:rsidR="00A34412" w:rsidRPr="00467C54" w:rsidRDefault="006B2542" w:rsidP="005A0156">
      <w:pPr>
        <w:rPr>
          <w:rFonts w:asciiTheme="majorHAnsi" w:hAnsiTheme="majorHAnsi" w:cstheme="minorHAnsi"/>
        </w:rPr>
      </w:pPr>
      <w:r w:rsidRPr="00467C54">
        <w:rPr>
          <w:rFonts w:asciiTheme="majorHAnsi" w:hAnsiTheme="majorHAnsi" w:cstheme="minorHAnsi"/>
        </w:rPr>
        <w:t xml:space="preserve">In order to </w:t>
      </w:r>
      <w:r w:rsidR="009313A6" w:rsidRPr="00467C54">
        <w:rPr>
          <w:rFonts w:asciiTheme="majorHAnsi" w:hAnsiTheme="majorHAnsi" w:cstheme="minorHAnsi"/>
        </w:rPr>
        <w:t>examine</w:t>
      </w:r>
      <w:r w:rsidRPr="00467C54">
        <w:rPr>
          <w:rFonts w:asciiTheme="majorHAnsi" w:hAnsiTheme="majorHAnsi" w:cstheme="minorHAnsi"/>
        </w:rPr>
        <w:t xml:space="preserve"> </w:t>
      </w:r>
      <w:r w:rsidR="009313A6" w:rsidRPr="00467C54">
        <w:rPr>
          <w:rFonts w:asciiTheme="majorHAnsi" w:hAnsiTheme="majorHAnsi" w:cstheme="minorHAnsi"/>
        </w:rPr>
        <w:t>these issues</w:t>
      </w:r>
      <w:r w:rsidRPr="00467C54">
        <w:rPr>
          <w:rFonts w:asciiTheme="majorHAnsi" w:hAnsiTheme="majorHAnsi" w:cstheme="minorHAnsi"/>
        </w:rPr>
        <w:t xml:space="preserve"> </w:t>
      </w:r>
      <w:r w:rsidR="00A34412" w:rsidRPr="00467C54">
        <w:rPr>
          <w:rFonts w:asciiTheme="majorHAnsi" w:hAnsiTheme="majorHAnsi" w:cstheme="minorHAnsi"/>
        </w:rPr>
        <w:t xml:space="preserve">in a more </w:t>
      </w:r>
      <w:r w:rsidRPr="00467C54">
        <w:rPr>
          <w:rFonts w:asciiTheme="majorHAnsi" w:hAnsiTheme="majorHAnsi" w:cstheme="minorHAnsi"/>
        </w:rPr>
        <w:t>robust manner a larger sample was</w:t>
      </w:r>
      <w:r w:rsidR="00A34412" w:rsidRPr="00467C54">
        <w:rPr>
          <w:rFonts w:asciiTheme="majorHAnsi" w:hAnsiTheme="majorHAnsi" w:cstheme="minorHAnsi"/>
        </w:rPr>
        <w:t xml:space="preserve"> required. </w:t>
      </w:r>
      <w:r w:rsidR="001B4302" w:rsidRPr="00467C54">
        <w:rPr>
          <w:rFonts w:asciiTheme="majorHAnsi" w:hAnsiTheme="majorHAnsi" w:cstheme="minorHAnsi"/>
        </w:rPr>
        <w:t xml:space="preserve">This report </w:t>
      </w:r>
      <w:r w:rsidR="00CB2EC8" w:rsidRPr="00467C54">
        <w:rPr>
          <w:rFonts w:asciiTheme="majorHAnsi" w:hAnsiTheme="majorHAnsi" w:cstheme="minorHAnsi"/>
        </w:rPr>
        <w:t>analyses the results from this larger sample</w:t>
      </w:r>
      <w:r w:rsidR="001B4302" w:rsidRPr="00467C54">
        <w:rPr>
          <w:rFonts w:asciiTheme="majorHAnsi" w:hAnsiTheme="majorHAnsi" w:cstheme="minorHAnsi"/>
        </w:rPr>
        <w:t xml:space="preserve">.  </w:t>
      </w:r>
    </w:p>
    <w:p w:rsidR="001F71B4" w:rsidRPr="00467C54" w:rsidRDefault="001F71B4" w:rsidP="005A0156">
      <w:pPr>
        <w:rPr>
          <w:rFonts w:asciiTheme="majorHAnsi" w:hAnsiTheme="majorHAnsi" w:cstheme="minorHAnsi"/>
        </w:rPr>
        <w:sectPr w:rsidR="001F71B4" w:rsidRPr="00467C54" w:rsidSect="00826013">
          <w:pgSz w:w="11906" w:h="16838"/>
          <w:pgMar w:top="1440" w:right="1440" w:bottom="1440" w:left="1440" w:header="708" w:footer="708" w:gutter="0"/>
          <w:cols w:space="708"/>
          <w:docGrid w:linePitch="360"/>
        </w:sectPr>
      </w:pPr>
    </w:p>
    <w:p w:rsidR="00193A49" w:rsidRPr="00467C54" w:rsidRDefault="008F3D84" w:rsidP="005A0156">
      <w:pPr>
        <w:rPr>
          <w:rFonts w:asciiTheme="majorHAnsi" w:hAnsiTheme="majorHAnsi" w:cs="Calibri"/>
          <w:sz w:val="20"/>
          <w:szCs w:val="20"/>
          <w:lang w:eastAsia="en-GB"/>
        </w:rPr>
      </w:pPr>
      <w:r w:rsidRPr="00467C54">
        <w:rPr>
          <w:rFonts w:asciiTheme="majorHAnsi" w:hAnsiTheme="majorHAnsi"/>
          <w:noProof/>
          <w:lang w:eastAsia="en-GB"/>
        </w:rPr>
        <w:drawing>
          <wp:inline distT="0" distB="0" distL="0" distR="0">
            <wp:extent cx="9290050" cy="5257800"/>
            <wp:effectExtent l="0" t="0" r="0" b="0"/>
            <wp:docPr id="6" name="Picture 6" descr="Macintosh HD:Users:austynsnowden:Documents:old files:Austyns:oldlaptops:grant apps:liz reilly:fark:text:SE Benchmarking - NHS Components - June 20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ustynsnowden:Documents:old files:Austyns:oldlaptops:grant apps:liz reilly:fark:text:SE Benchmarking - NHS Components - June 2012.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90050" cy="5257800"/>
                    </a:xfrm>
                    <a:prstGeom prst="rect">
                      <a:avLst/>
                    </a:prstGeom>
                    <a:noFill/>
                    <a:ln>
                      <a:noFill/>
                    </a:ln>
                  </pic:spPr>
                </pic:pic>
              </a:graphicData>
            </a:graphic>
          </wp:inline>
        </w:drawing>
      </w:r>
    </w:p>
    <w:p w:rsidR="00193A49" w:rsidRPr="00467C54" w:rsidRDefault="004415CB" w:rsidP="003D78F9">
      <w:pPr>
        <w:pStyle w:val="Heading5"/>
        <w:jc w:val="center"/>
        <w:rPr>
          <w:rFonts w:cstheme="minorHAnsi"/>
        </w:rPr>
        <w:sectPr w:rsidR="00193A49" w:rsidRPr="00467C54" w:rsidSect="001F71B4">
          <w:pgSz w:w="16838" w:h="11906" w:orient="landscape"/>
          <w:pgMar w:top="1440" w:right="1440" w:bottom="1440" w:left="1440" w:header="708" w:footer="708" w:gutter="0"/>
          <w:cols w:space="708"/>
          <w:docGrid w:linePitch="360"/>
        </w:sectPr>
      </w:pPr>
      <w:bookmarkStart w:id="4" w:name="_Toc349398122"/>
      <w:bookmarkStart w:id="5" w:name="_Toc349398194"/>
      <w:bookmarkStart w:id="6" w:name="_Toc351020501"/>
      <w:r w:rsidRPr="00467C54">
        <w:t>Figure 1</w:t>
      </w:r>
      <w:r w:rsidR="00193A49" w:rsidRPr="00467C54">
        <w:t xml:space="preserve">. </w:t>
      </w:r>
      <w:bookmarkEnd w:id="4"/>
      <w:bookmarkEnd w:id="5"/>
      <w:r w:rsidR="008F3D84" w:rsidRPr="00467C54">
        <w:t>Drivers of staff engagement</w:t>
      </w:r>
      <w:bookmarkEnd w:id="6"/>
      <w:r w:rsidR="00193A49" w:rsidRPr="00467C54">
        <w:t xml:space="preserve"> </w:t>
      </w:r>
    </w:p>
    <w:p w:rsidR="00AD3A3E" w:rsidRPr="00467C54" w:rsidRDefault="00390E4E" w:rsidP="005A0156">
      <w:pPr>
        <w:pStyle w:val="Heading2"/>
      </w:pPr>
      <w:bookmarkStart w:id="7" w:name="_Toc351201876"/>
      <w:r w:rsidRPr="00467C54">
        <w:t>Method</w:t>
      </w:r>
      <w:bookmarkEnd w:id="7"/>
    </w:p>
    <w:p w:rsidR="00A24C10" w:rsidRPr="00467C54" w:rsidRDefault="00A53F66" w:rsidP="005A0156">
      <w:pPr>
        <w:pStyle w:val="Heading3"/>
      </w:pPr>
      <w:bookmarkStart w:id="8" w:name="_Toc351201877"/>
      <w:r w:rsidRPr="00467C54">
        <w:t>Data</w:t>
      </w:r>
      <w:bookmarkEnd w:id="8"/>
    </w:p>
    <w:p w:rsidR="00A53F66" w:rsidRPr="00467C54" w:rsidRDefault="00A53F66" w:rsidP="005A0156">
      <w:pPr>
        <w:rPr>
          <w:rFonts w:asciiTheme="majorHAnsi" w:hAnsiTheme="majorHAnsi" w:cstheme="minorHAnsi"/>
        </w:rPr>
      </w:pPr>
    </w:p>
    <w:p w:rsidR="00B52C8E" w:rsidRPr="00467C54" w:rsidRDefault="00EA18DD" w:rsidP="005A0156">
      <w:pPr>
        <w:rPr>
          <w:rFonts w:asciiTheme="majorHAnsi" w:hAnsiTheme="majorHAnsi" w:cstheme="minorHAnsi"/>
        </w:rPr>
      </w:pPr>
      <w:r w:rsidRPr="00467C54">
        <w:rPr>
          <w:rFonts w:asciiTheme="majorHAnsi" w:hAnsiTheme="majorHAnsi" w:cstheme="minorHAnsi"/>
        </w:rPr>
        <w:t>The pilot 3</w:t>
      </w:r>
      <w:r w:rsidR="00A53F66" w:rsidRPr="00467C54">
        <w:rPr>
          <w:rFonts w:asciiTheme="majorHAnsi" w:hAnsiTheme="majorHAnsi" w:cstheme="minorHAnsi"/>
        </w:rPr>
        <w:t xml:space="preserve"> version of the </w:t>
      </w:r>
      <w:r w:rsidR="001B0018" w:rsidRPr="00467C54">
        <w:rPr>
          <w:rFonts w:asciiTheme="majorHAnsi" w:hAnsiTheme="majorHAnsi" w:cstheme="minorHAnsi"/>
        </w:rPr>
        <w:t>NHSEEI</w:t>
      </w:r>
      <w:r w:rsidR="00A53F66" w:rsidRPr="00467C54">
        <w:rPr>
          <w:rFonts w:asciiTheme="majorHAnsi" w:hAnsiTheme="majorHAnsi" w:cstheme="minorHAnsi"/>
        </w:rPr>
        <w:t xml:space="preserve"> </w:t>
      </w:r>
      <w:r w:rsidR="00B52C8E" w:rsidRPr="00467C54">
        <w:rPr>
          <w:rFonts w:asciiTheme="majorHAnsi" w:hAnsiTheme="majorHAnsi" w:cstheme="minorHAnsi"/>
        </w:rPr>
        <w:t xml:space="preserve">(Appendix 1) </w:t>
      </w:r>
      <w:r w:rsidR="00A53F66" w:rsidRPr="00467C54">
        <w:rPr>
          <w:rFonts w:asciiTheme="majorHAnsi" w:hAnsiTheme="majorHAnsi" w:cstheme="minorHAnsi"/>
        </w:rPr>
        <w:t>was distributed electronically</w:t>
      </w:r>
      <w:r w:rsidR="003A1536" w:rsidRPr="00467C54">
        <w:rPr>
          <w:rFonts w:asciiTheme="majorHAnsi" w:hAnsiTheme="majorHAnsi" w:cstheme="minorHAnsi"/>
        </w:rPr>
        <w:t xml:space="preserve"> and paper copies</w:t>
      </w:r>
      <w:r w:rsidR="00A53F66" w:rsidRPr="00467C54">
        <w:rPr>
          <w:rFonts w:asciiTheme="majorHAnsi" w:hAnsiTheme="majorHAnsi" w:cstheme="minorHAnsi"/>
        </w:rPr>
        <w:t xml:space="preserve"> to 23</w:t>
      </w:r>
      <w:r w:rsidRPr="00467C54">
        <w:rPr>
          <w:rFonts w:asciiTheme="majorHAnsi" w:hAnsiTheme="majorHAnsi" w:cstheme="minorHAnsi"/>
        </w:rPr>
        <w:t>00 NHS</w:t>
      </w:r>
      <w:r w:rsidR="003D0D9F">
        <w:rPr>
          <w:rFonts w:asciiTheme="majorHAnsi" w:hAnsiTheme="majorHAnsi" w:cstheme="minorHAnsi"/>
        </w:rPr>
        <w:t xml:space="preserve"> </w:t>
      </w:r>
      <w:r w:rsidRPr="00467C54">
        <w:rPr>
          <w:rFonts w:asciiTheme="majorHAnsi" w:hAnsiTheme="majorHAnsi" w:cstheme="minorHAnsi"/>
        </w:rPr>
        <w:t>Scotland staff across three</w:t>
      </w:r>
      <w:r w:rsidR="00A53F66" w:rsidRPr="00467C54">
        <w:rPr>
          <w:rFonts w:asciiTheme="majorHAnsi" w:hAnsiTheme="majorHAnsi" w:cstheme="minorHAnsi"/>
        </w:rPr>
        <w:t xml:space="preserve"> boards</w:t>
      </w:r>
      <w:r w:rsidRPr="00467C54">
        <w:rPr>
          <w:rFonts w:asciiTheme="majorHAnsi" w:hAnsiTheme="majorHAnsi" w:cstheme="minorHAnsi"/>
        </w:rPr>
        <w:t xml:space="preserve">: NHS Forth Valley, NHS Tayside and NHS Golden Jubilee. </w:t>
      </w:r>
      <w:r w:rsidR="00C645A3" w:rsidRPr="00467C54">
        <w:rPr>
          <w:rFonts w:asciiTheme="majorHAnsi" w:hAnsiTheme="majorHAnsi" w:cstheme="minorHAnsi"/>
        </w:rPr>
        <w:t xml:space="preserve">Participants completed the questionnaire online. </w:t>
      </w:r>
      <w:r w:rsidR="00B52C8E" w:rsidRPr="00467C54">
        <w:rPr>
          <w:rFonts w:asciiTheme="majorHAnsi" w:hAnsiTheme="majorHAnsi" w:cstheme="minorHAnsi"/>
        </w:rPr>
        <w:t xml:space="preserve">Below is a list of the </w:t>
      </w:r>
      <w:r w:rsidR="001B0018" w:rsidRPr="00467C54">
        <w:rPr>
          <w:rFonts w:asciiTheme="majorHAnsi" w:hAnsiTheme="majorHAnsi" w:cstheme="minorHAnsi"/>
        </w:rPr>
        <w:t>NHSEEI</w:t>
      </w:r>
      <w:r w:rsidR="00B52C8E" w:rsidRPr="00467C54">
        <w:rPr>
          <w:rFonts w:asciiTheme="majorHAnsi" w:hAnsiTheme="majorHAnsi" w:cstheme="minorHAnsi"/>
        </w:rPr>
        <w:t xml:space="preserve"> items</w:t>
      </w:r>
      <w:r w:rsidR="003160F7" w:rsidRPr="00467C54">
        <w:rPr>
          <w:rFonts w:asciiTheme="majorHAnsi" w:hAnsiTheme="majorHAnsi" w:cstheme="minorHAnsi"/>
        </w:rPr>
        <w:t xml:space="preserve"> in numbered order</w:t>
      </w:r>
      <w:r w:rsidR="00B52C8E" w:rsidRPr="00467C54">
        <w:rPr>
          <w:rFonts w:asciiTheme="majorHAnsi" w:hAnsiTheme="majorHAnsi" w:cstheme="minorHAnsi"/>
        </w:rPr>
        <w:t>:</w:t>
      </w:r>
    </w:p>
    <w:p w:rsidR="00EB2969" w:rsidRPr="00467C54" w:rsidRDefault="00EB2969" w:rsidP="005A0156">
      <w:pPr>
        <w:rPr>
          <w:rFonts w:asciiTheme="majorHAnsi" w:hAnsiTheme="majorHAnsi" w:cstheme="minorHAnsi"/>
        </w:rPr>
      </w:pPr>
    </w:p>
    <w:tbl>
      <w:tblPr>
        <w:tblW w:w="15026" w:type="dxa"/>
        <w:tblInd w:w="108" w:type="dxa"/>
        <w:tblLayout w:type="fixed"/>
        <w:tblLook w:val="06A0" w:firstRow="1" w:lastRow="0" w:firstColumn="1" w:lastColumn="0" w:noHBand="1" w:noVBand="1"/>
      </w:tblPr>
      <w:tblGrid>
        <w:gridCol w:w="15026"/>
      </w:tblGrid>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clear what my duties and responsibilities are</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get the information I need to do my job well</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given the time and resources to support my learning and growth</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do not have sufficient support to do my job well</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confident my ideas and suggestions are listened to</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confident my ideas and suggestions are acted upon</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feel involved in decisions relating to my job</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treated with dignity and respect as an individual</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treated fairly and consistently</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get enough helpful feedback on how well I do my work</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feel appreciated for the work I do</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My work gives me a sense of achievement</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feel my direct line manager cares about my health and wellbeing</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My direct line manager is sufficiently approachable</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have confidence and trust in my direct line manager</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do not feel involved in decisions relating to my team</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confident performance is managed well within my team</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My team works well together</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would recommend my team as a good one to be part of</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understand how my role contributes to the goals of my organisation</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feel my organisation cares about my health and wellbeing</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do not feel senior managers responsible for the wider organisation are sufficiently visible</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have confidence and trust in senior managers responsible for the wider organisation</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feel involved in decisions relating to my organisation</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am confident performance is managed well within my organisation</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get the help and support I need from other teams and services within the organisation to do my job</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would recommend my organisation as a good place to work</w:t>
            </w:r>
          </w:p>
        </w:tc>
      </w:tr>
      <w:tr w:rsidR="005679DF" w:rsidRPr="00467C54" w:rsidTr="005E703F">
        <w:trPr>
          <w:trHeight w:val="57"/>
        </w:trPr>
        <w:tc>
          <w:tcPr>
            <w:tcW w:w="8364" w:type="dxa"/>
            <w:tcBorders>
              <w:top w:val="nil"/>
              <w:left w:val="nil"/>
              <w:bottom w:val="nil"/>
              <w:right w:val="nil"/>
            </w:tcBorders>
            <w:shd w:val="clear" w:color="auto" w:fill="auto"/>
            <w:vAlign w:val="bottom"/>
            <w:hideMark/>
          </w:tcPr>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I would be happy for a friend or relative to access services within my organisation</w:t>
            </w:r>
          </w:p>
          <w:p w:rsidR="005679DF" w:rsidRPr="00467C54" w:rsidRDefault="005679DF" w:rsidP="005E703F">
            <w:pPr>
              <w:pStyle w:val="NoSpacing"/>
              <w:numPr>
                <w:ilvl w:val="0"/>
                <w:numId w:val="21"/>
              </w:numPr>
              <w:rPr>
                <w:rFonts w:asciiTheme="majorHAnsi" w:hAnsiTheme="majorHAnsi"/>
              </w:rPr>
            </w:pPr>
            <w:r w:rsidRPr="00467C54">
              <w:rPr>
                <w:rFonts w:asciiTheme="majorHAnsi" w:hAnsiTheme="majorHAnsi"/>
              </w:rPr>
              <w:t>Overall, working within my organisation…(10= ‘is a very good experience’…0=’a very poor experience’)</w:t>
            </w:r>
          </w:p>
        </w:tc>
      </w:tr>
    </w:tbl>
    <w:p w:rsidR="00B52C8E" w:rsidRPr="00467C54" w:rsidRDefault="00B52C8E" w:rsidP="005A0156">
      <w:pPr>
        <w:rPr>
          <w:rFonts w:asciiTheme="majorHAnsi" w:hAnsiTheme="majorHAnsi" w:cstheme="minorHAnsi"/>
        </w:rPr>
      </w:pPr>
    </w:p>
    <w:p w:rsidR="00B52C8E" w:rsidRPr="00467C54" w:rsidRDefault="00B52C8E" w:rsidP="005A0156">
      <w:pPr>
        <w:rPr>
          <w:rFonts w:asciiTheme="majorHAnsi" w:hAnsiTheme="majorHAnsi" w:cstheme="minorHAnsi"/>
        </w:rPr>
      </w:pPr>
    </w:p>
    <w:p w:rsidR="00A53F66" w:rsidRPr="00467C54" w:rsidRDefault="00B52C8E" w:rsidP="005A0156">
      <w:pPr>
        <w:rPr>
          <w:rFonts w:asciiTheme="majorHAnsi" w:hAnsiTheme="majorHAnsi" w:cstheme="minorHAnsi"/>
        </w:rPr>
      </w:pPr>
      <w:r w:rsidRPr="00467C54">
        <w:rPr>
          <w:rFonts w:asciiTheme="majorHAnsi" w:hAnsiTheme="majorHAnsi" w:cstheme="minorHAnsi"/>
        </w:rPr>
        <w:t xml:space="preserve">Questions 1-28 entailed six point Likert </w:t>
      </w:r>
      <w:r w:rsidR="00A25B94" w:rsidRPr="00467C54">
        <w:rPr>
          <w:rFonts w:asciiTheme="majorHAnsi" w:hAnsiTheme="majorHAnsi" w:cstheme="minorHAnsi"/>
        </w:rPr>
        <w:t xml:space="preserve">responses: </w:t>
      </w:r>
      <w:r w:rsidRPr="00467C54">
        <w:rPr>
          <w:rFonts w:asciiTheme="majorHAnsi" w:hAnsiTheme="majorHAnsi" w:cstheme="minorHAnsi"/>
        </w:rPr>
        <w:t>‘Strongly disagree</w:t>
      </w:r>
      <w:r w:rsidR="00A25B94" w:rsidRPr="00467C54">
        <w:rPr>
          <w:rFonts w:asciiTheme="majorHAnsi" w:hAnsiTheme="majorHAnsi" w:cstheme="minorHAnsi"/>
        </w:rPr>
        <w:t>’ ‘Disagree’ ‘Slightly disagree’ ‘Slightly Agree’ ‘Agree’ ‘</w:t>
      </w:r>
      <w:r w:rsidRPr="00467C54">
        <w:rPr>
          <w:rFonts w:asciiTheme="majorHAnsi" w:hAnsiTheme="majorHAnsi" w:cstheme="minorHAnsi"/>
        </w:rPr>
        <w:t>Strongly Agree</w:t>
      </w:r>
      <w:r w:rsidR="00A25B94" w:rsidRPr="00467C54">
        <w:rPr>
          <w:rFonts w:asciiTheme="majorHAnsi" w:hAnsiTheme="majorHAnsi" w:cstheme="minorHAnsi"/>
        </w:rPr>
        <w:t>’. Q</w:t>
      </w:r>
      <w:r w:rsidRPr="00467C54">
        <w:rPr>
          <w:rFonts w:asciiTheme="majorHAnsi" w:hAnsiTheme="majorHAnsi" w:cstheme="minorHAnsi"/>
        </w:rPr>
        <w:t xml:space="preserve">uestion 29 entailed an </w:t>
      </w:r>
      <w:r w:rsidR="003160F7" w:rsidRPr="00467C54">
        <w:rPr>
          <w:rFonts w:asciiTheme="majorHAnsi" w:hAnsiTheme="majorHAnsi" w:cstheme="minorHAnsi"/>
        </w:rPr>
        <w:t>11-point</w:t>
      </w:r>
      <w:r w:rsidRPr="00467C54">
        <w:rPr>
          <w:rFonts w:asciiTheme="majorHAnsi" w:hAnsiTheme="majorHAnsi" w:cstheme="minorHAnsi"/>
        </w:rPr>
        <w:t xml:space="preserve"> scale</w:t>
      </w:r>
      <w:r w:rsidR="00A25B94" w:rsidRPr="00467C54">
        <w:rPr>
          <w:rFonts w:asciiTheme="majorHAnsi" w:hAnsiTheme="majorHAnsi" w:cstheme="minorHAnsi"/>
        </w:rPr>
        <w:t xml:space="preserve"> from </w:t>
      </w:r>
      <w:r w:rsidR="0062633C" w:rsidRPr="00467C54">
        <w:rPr>
          <w:rFonts w:asciiTheme="majorHAnsi" w:hAnsiTheme="majorHAnsi" w:cstheme="minorHAnsi"/>
        </w:rPr>
        <w:t>ten to zero</w:t>
      </w:r>
      <w:r w:rsidRPr="00467C54">
        <w:rPr>
          <w:rFonts w:asciiTheme="majorHAnsi" w:hAnsiTheme="majorHAnsi" w:cstheme="minorHAnsi"/>
        </w:rPr>
        <w:t xml:space="preserve">. </w:t>
      </w:r>
      <w:r w:rsidR="007E59BD" w:rsidRPr="00467C54">
        <w:rPr>
          <w:rFonts w:asciiTheme="majorHAnsi" w:hAnsiTheme="majorHAnsi" w:cstheme="minorHAnsi"/>
        </w:rPr>
        <w:t xml:space="preserve">No identifiable data were requested or collected, but </w:t>
      </w:r>
      <w:r w:rsidRPr="00467C54">
        <w:rPr>
          <w:rFonts w:asciiTheme="majorHAnsi" w:hAnsiTheme="majorHAnsi" w:cstheme="minorHAnsi"/>
        </w:rPr>
        <w:t>professional</w:t>
      </w:r>
      <w:r w:rsidR="007E59BD" w:rsidRPr="00467C54">
        <w:rPr>
          <w:rFonts w:asciiTheme="majorHAnsi" w:hAnsiTheme="majorHAnsi" w:cstheme="minorHAnsi"/>
        </w:rPr>
        <w:t xml:space="preserve"> role</w:t>
      </w:r>
      <w:r w:rsidRPr="00467C54">
        <w:rPr>
          <w:rFonts w:asciiTheme="majorHAnsi" w:hAnsiTheme="majorHAnsi" w:cstheme="minorHAnsi"/>
        </w:rPr>
        <w:t>s</w:t>
      </w:r>
      <w:r w:rsidR="007E59BD" w:rsidRPr="00467C54">
        <w:rPr>
          <w:rFonts w:asciiTheme="majorHAnsi" w:hAnsiTheme="majorHAnsi" w:cstheme="minorHAnsi"/>
        </w:rPr>
        <w:t xml:space="preserve"> were obtained for sample descriptive and comparative purposes. Data were collated centrally </w:t>
      </w:r>
      <w:r w:rsidR="007D1366" w:rsidRPr="00467C54">
        <w:rPr>
          <w:rFonts w:asciiTheme="majorHAnsi" w:hAnsiTheme="majorHAnsi" w:cstheme="minorHAnsi"/>
        </w:rPr>
        <w:t xml:space="preserve">by the project team </w:t>
      </w:r>
      <w:r w:rsidR="007E59BD" w:rsidRPr="00467C54">
        <w:rPr>
          <w:rFonts w:asciiTheme="majorHAnsi" w:hAnsiTheme="majorHAnsi" w:cstheme="minorHAnsi"/>
        </w:rPr>
        <w:t xml:space="preserve">and rechecked for the presence of any potentially identifiable data. Anonymised </w:t>
      </w:r>
      <w:r w:rsidR="00A25B94" w:rsidRPr="00467C54">
        <w:rPr>
          <w:rFonts w:asciiTheme="majorHAnsi" w:hAnsiTheme="majorHAnsi" w:cstheme="minorHAnsi"/>
        </w:rPr>
        <w:t>Microsoft E</w:t>
      </w:r>
      <w:r w:rsidR="007D1366" w:rsidRPr="00467C54">
        <w:rPr>
          <w:rFonts w:asciiTheme="majorHAnsi" w:hAnsiTheme="majorHAnsi" w:cstheme="minorHAnsi"/>
        </w:rPr>
        <w:t xml:space="preserve">xcel </w:t>
      </w:r>
      <w:r w:rsidR="00EA18DD" w:rsidRPr="00467C54">
        <w:rPr>
          <w:rFonts w:asciiTheme="majorHAnsi" w:hAnsiTheme="majorHAnsi" w:cstheme="minorHAnsi"/>
        </w:rPr>
        <w:t>spreadsheets</w:t>
      </w:r>
      <w:r w:rsidR="007D1366" w:rsidRPr="00467C54">
        <w:rPr>
          <w:rFonts w:asciiTheme="majorHAnsi" w:hAnsiTheme="majorHAnsi" w:cstheme="minorHAnsi"/>
        </w:rPr>
        <w:t xml:space="preserve"> were</w:t>
      </w:r>
      <w:r w:rsidR="007E59BD" w:rsidRPr="00467C54">
        <w:rPr>
          <w:rFonts w:asciiTheme="majorHAnsi" w:hAnsiTheme="majorHAnsi" w:cstheme="minorHAnsi"/>
        </w:rPr>
        <w:t xml:space="preserve"> then exported to the external validation team at UWS.</w:t>
      </w:r>
    </w:p>
    <w:p w:rsidR="003A1536" w:rsidRPr="00467C54" w:rsidRDefault="003A1536" w:rsidP="005A0156">
      <w:pPr>
        <w:rPr>
          <w:rFonts w:asciiTheme="majorHAnsi" w:hAnsiTheme="majorHAnsi" w:cstheme="minorHAnsi"/>
        </w:rPr>
      </w:pPr>
    </w:p>
    <w:p w:rsidR="005679DF" w:rsidRDefault="005679DF" w:rsidP="005A0156">
      <w:pPr>
        <w:pStyle w:val="Heading3"/>
      </w:pPr>
    </w:p>
    <w:p w:rsidR="00467C54" w:rsidRDefault="00467C54" w:rsidP="00467C54"/>
    <w:p w:rsidR="00467C54" w:rsidRPr="00467C54" w:rsidRDefault="00467C54" w:rsidP="00467C54"/>
    <w:p w:rsidR="00452B59" w:rsidRPr="00467C54" w:rsidRDefault="00173375" w:rsidP="005A0156">
      <w:pPr>
        <w:pStyle w:val="Heading3"/>
      </w:pPr>
      <w:bookmarkStart w:id="9" w:name="_Toc351201878"/>
      <w:r w:rsidRPr="00467C54">
        <w:t>Analytic procedures</w:t>
      </w:r>
      <w:bookmarkEnd w:id="9"/>
    </w:p>
    <w:p w:rsidR="00173375" w:rsidRPr="00467C54" w:rsidRDefault="00173375" w:rsidP="005A0156">
      <w:pPr>
        <w:rPr>
          <w:rFonts w:asciiTheme="majorHAnsi" w:hAnsiTheme="majorHAnsi" w:cstheme="minorHAnsi"/>
          <w:i/>
        </w:rPr>
      </w:pPr>
    </w:p>
    <w:p w:rsidR="001F71B4" w:rsidRPr="00467C54" w:rsidRDefault="007E59BD" w:rsidP="005A0156">
      <w:pPr>
        <w:rPr>
          <w:rFonts w:asciiTheme="majorHAnsi" w:hAnsiTheme="majorHAnsi" w:cstheme="minorHAnsi"/>
        </w:rPr>
      </w:pPr>
      <w:r w:rsidRPr="00467C54">
        <w:rPr>
          <w:rFonts w:asciiTheme="majorHAnsi" w:hAnsiTheme="majorHAnsi" w:cstheme="minorHAnsi"/>
        </w:rPr>
        <w:t xml:space="preserve">The </w:t>
      </w:r>
      <w:r w:rsidR="00D27A11" w:rsidRPr="00467C54">
        <w:rPr>
          <w:rFonts w:asciiTheme="majorHAnsi" w:hAnsiTheme="majorHAnsi" w:cstheme="minorHAnsi"/>
        </w:rPr>
        <w:t>spreadsheet</w:t>
      </w:r>
      <w:r w:rsidRPr="00467C54">
        <w:rPr>
          <w:rFonts w:asciiTheme="majorHAnsi" w:hAnsiTheme="majorHAnsi" w:cstheme="minorHAnsi"/>
        </w:rPr>
        <w:t xml:space="preserve"> was </w:t>
      </w:r>
      <w:r w:rsidR="00A24C10" w:rsidRPr="00467C54">
        <w:rPr>
          <w:rFonts w:asciiTheme="majorHAnsi" w:hAnsiTheme="majorHAnsi" w:cstheme="minorHAnsi"/>
        </w:rPr>
        <w:t xml:space="preserve">imported into </w:t>
      </w:r>
      <w:r w:rsidR="005E5BC2" w:rsidRPr="00467C54">
        <w:rPr>
          <w:rFonts w:asciiTheme="majorHAnsi" w:hAnsiTheme="majorHAnsi" w:cstheme="minorHAnsi"/>
        </w:rPr>
        <w:t>IBM SPSS Statistics</w:t>
      </w:r>
      <w:r w:rsidR="00173375" w:rsidRPr="00467C54">
        <w:rPr>
          <w:rFonts w:asciiTheme="majorHAnsi" w:hAnsiTheme="majorHAnsi" w:cstheme="minorHAnsi"/>
        </w:rPr>
        <w:t xml:space="preserve"> (SPSS) </w:t>
      </w:r>
      <w:r w:rsidR="000906F0" w:rsidRPr="00467C54">
        <w:rPr>
          <w:rFonts w:asciiTheme="majorHAnsi" w:hAnsiTheme="majorHAnsi" w:cstheme="minorHAnsi"/>
        </w:rPr>
        <w:t xml:space="preserve">version 20 </w:t>
      </w:r>
      <w:r w:rsidR="00A53F66" w:rsidRPr="00467C54">
        <w:rPr>
          <w:rFonts w:asciiTheme="majorHAnsi" w:hAnsiTheme="majorHAnsi" w:cstheme="minorHAnsi"/>
        </w:rPr>
        <w:t>for descriptive statistics and inferential analyses</w:t>
      </w:r>
      <w:r w:rsidR="00173375" w:rsidRPr="00467C54">
        <w:rPr>
          <w:rFonts w:asciiTheme="majorHAnsi" w:hAnsiTheme="majorHAnsi" w:cstheme="minorHAnsi"/>
        </w:rPr>
        <w:t xml:space="preserve">. All data were also </w:t>
      </w:r>
      <w:r w:rsidRPr="00467C54">
        <w:rPr>
          <w:rFonts w:asciiTheme="majorHAnsi" w:hAnsiTheme="majorHAnsi" w:cstheme="minorHAnsi"/>
        </w:rPr>
        <w:t xml:space="preserve">converted to .csv files and </w:t>
      </w:r>
      <w:r w:rsidR="00686A80" w:rsidRPr="00467C54">
        <w:rPr>
          <w:rFonts w:asciiTheme="majorHAnsi" w:hAnsiTheme="majorHAnsi" w:cstheme="minorHAnsi"/>
        </w:rPr>
        <w:t xml:space="preserve">.txt files, </w:t>
      </w:r>
      <w:r w:rsidR="00C1332F" w:rsidRPr="00467C54">
        <w:rPr>
          <w:rFonts w:asciiTheme="majorHAnsi" w:hAnsiTheme="majorHAnsi" w:cstheme="minorHAnsi"/>
        </w:rPr>
        <w:t>imported and</w:t>
      </w:r>
      <w:r w:rsidRPr="00467C54">
        <w:rPr>
          <w:rFonts w:asciiTheme="majorHAnsi" w:hAnsiTheme="majorHAnsi" w:cstheme="minorHAnsi"/>
        </w:rPr>
        <w:t xml:space="preserve"> recoded </w:t>
      </w:r>
      <w:r w:rsidR="00173375" w:rsidRPr="00467C54">
        <w:rPr>
          <w:rFonts w:asciiTheme="majorHAnsi" w:hAnsiTheme="majorHAnsi" w:cstheme="minorHAnsi"/>
        </w:rPr>
        <w:t xml:space="preserve">into WINSTEPS </w:t>
      </w:r>
      <w:r w:rsidR="001F71B4" w:rsidRPr="00467C54">
        <w:rPr>
          <w:rFonts w:asciiTheme="majorHAnsi" w:hAnsiTheme="majorHAnsi" w:cstheme="minorHAnsi"/>
        </w:rPr>
        <w:t xml:space="preserve">and jMetrik </w:t>
      </w:r>
      <w:r w:rsidR="00A53F66" w:rsidRPr="00467C54">
        <w:rPr>
          <w:rFonts w:asciiTheme="majorHAnsi" w:hAnsiTheme="majorHAnsi" w:cstheme="minorHAnsi"/>
        </w:rPr>
        <w:t>for item response analyses</w:t>
      </w:r>
      <w:r w:rsidR="00173375" w:rsidRPr="00467C54">
        <w:rPr>
          <w:rFonts w:asciiTheme="majorHAnsi" w:hAnsiTheme="majorHAnsi" w:cstheme="minorHAnsi"/>
        </w:rPr>
        <w:t>.</w:t>
      </w:r>
      <w:r w:rsidR="00FE4BC1" w:rsidRPr="00467C54">
        <w:rPr>
          <w:rFonts w:asciiTheme="majorHAnsi" w:hAnsiTheme="majorHAnsi" w:cstheme="minorHAnsi"/>
        </w:rPr>
        <w:t xml:space="preserve"> </w:t>
      </w:r>
      <w:r w:rsidR="00EA18DD" w:rsidRPr="00467C54">
        <w:rPr>
          <w:rFonts w:asciiTheme="majorHAnsi" w:hAnsiTheme="majorHAnsi" w:cstheme="minorHAnsi"/>
        </w:rPr>
        <w:t xml:space="preserve">Descriptive statistics entailed frequencies and summary graphical representations. </w:t>
      </w:r>
      <w:r w:rsidR="00FE4BC1" w:rsidRPr="00467C54">
        <w:rPr>
          <w:rFonts w:asciiTheme="majorHAnsi" w:hAnsiTheme="majorHAnsi" w:cstheme="minorHAnsi"/>
        </w:rPr>
        <w:t xml:space="preserve">The main methods of </w:t>
      </w:r>
      <w:r w:rsidR="00EA18DD" w:rsidRPr="00467C54">
        <w:rPr>
          <w:rFonts w:asciiTheme="majorHAnsi" w:hAnsiTheme="majorHAnsi" w:cstheme="minorHAnsi"/>
        </w:rPr>
        <w:t xml:space="preserve">inferential </w:t>
      </w:r>
      <w:r w:rsidR="00FE4BC1" w:rsidRPr="00467C54">
        <w:rPr>
          <w:rFonts w:asciiTheme="majorHAnsi" w:hAnsiTheme="majorHAnsi" w:cstheme="minorHAnsi"/>
        </w:rPr>
        <w:t>analysis entailed factor analysis and Rasch analysis.</w:t>
      </w:r>
      <w:r w:rsidR="00A25B94" w:rsidRPr="00467C54">
        <w:rPr>
          <w:rFonts w:asciiTheme="majorHAnsi" w:hAnsiTheme="majorHAnsi" w:cstheme="minorHAnsi"/>
        </w:rPr>
        <w:t xml:space="preserve"> They are described below.</w:t>
      </w:r>
    </w:p>
    <w:p w:rsidR="001F71B4" w:rsidRPr="00467C54" w:rsidRDefault="001F71B4" w:rsidP="005A0156">
      <w:pPr>
        <w:rPr>
          <w:rFonts w:asciiTheme="majorHAnsi" w:hAnsiTheme="majorHAnsi" w:cstheme="minorHAnsi"/>
        </w:rPr>
      </w:pPr>
    </w:p>
    <w:p w:rsidR="00411B5D" w:rsidRPr="00467C54" w:rsidRDefault="00411B5D" w:rsidP="005A0156">
      <w:pPr>
        <w:rPr>
          <w:rFonts w:asciiTheme="majorHAnsi" w:hAnsiTheme="majorHAnsi"/>
        </w:rPr>
      </w:pPr>
      <w:r w:rsidRPr="00467C54">
        <w:rPr>
          <w:rFonts w:asciiTheme="majorHAnsi" w:hAnsiTheme="majorHAnsi"/>
        </w:rPr>
        <w:t>Factor analysis is a particular approach to reducing the dimensionality of data.  Using this study as an example, it can be seen that there is a minimum of 28 questions</w:t>
      </w:r>
      <w:r w:rsidR="00A25B94" w:rsidRPr="00467C54">
        <w:rPr>
          <w:rFonts w:asciiTheme="majorHAnsi" w:hAnsiTheme="majorHAnsi"/>
        </w:rPr>
        <w:t xml:space="preserve">, excluding question </w:t>
      </w:r>
      <w:r w:rsidR="003160F7" w:rsidRPr="00467C54">
        <w:rPr>
          <w:rFonts w:asciiTheme="majorHAnsi" w:hAnsiTheme="majorHAnsi"/>
        </w:rPr>
        <w:t>29, which</w:t>
      </w:r>
      <w:r w:rsidR="00A25B94" w:rsidRPr="00467C54">
        <w:rPr>
          <w:rFonts w:asciiTheme="majorHAnsi" w:hAnsiTheme="majorHAnsi"/>
        </w:rPr>
        <w:t xml:space="preserve"> is an overall rating question and therefore a summary of the whole rather than a specific dimension of it</w:t>
      </w:r>
      <w:r w:rsidRPr="00467C54">
        <w:rPr>
          <w:rFonts w:asciiTheme="majorHAnsi" w:hAnsiTheme="majorHAnsi"/>
        </w:rPr>
        <w:t xml:space="preserve">.  Each one of these </w:t>
      </w:r>
      <w:r w:rsidR="00A25B94" w:rsidRPr="00467C54">
        <w:rPr>
          <w:rFonts w:asciiTheme="majorHAnsi" w:hAnsiTheme="majorHAnsi"/>
        </w:rPr>
        <w:t xml:space="preserve">28 items </w:t>
      </w:r>
      <w:r w:rsidRPr="00467C54">
        <w:rPr>
          <w:rFonts w:asciiTheme="majorHAnsi" w:hAnsiTheme="majorHAnsi"/>
        </w:rPr>
        <w:t>can be thought of as a particular response (dimension).  Most humans have difficulty in viewing more than two dimensions</w:t>
      </w:r>
      <w:r w:rsidR="00A25B94" w:rsidRPr="00467C54">
        <w:rPr>
          <w:rFonts w:asciiTheme="majorHAnsi" w:hAnsiTheme="majorHAnsi"/>
        </w:rPr>
        <w:t xml:space="preserve">, and therefore 28 dimensions </w:t>
      </w:r>
      <w:r w:rsidR="003160F7" w:rsidRPr="00467C54">
        <w:rPr>
          <w:rFonts w:asciiTheme="majorHAnsi" w:hAnsiTheme="majorHAnsi"/>
        </w:rPr>
        <w:t>are</w:t>
      </w:r>
      <w:r w:rsidR="00A25B94" w:rsidRPr="00467C54">
        <w:rPr>
          <w:rFonts w:asciiTheme="majorHAnsi" w:hAnsiTheme="majorHAnsi"/>
        </w:rPr>
        <w:t xml:space="preserve"> extremely difficult to make sense of</w:t>
      </w:r>
      <w:r w:rsidRPr="00467C54">
        <w:rPr>
          <w:rFonts w:asciiTheme="majorHAnsi" w:hAnsiTheme="majorHAnsi"/>
        </w:rPr>
        <w:t>.  What could be done is to attempt to reduce the number of dimensions to make the overall response easier to understand.  There are a number o</w:t>
      </w:r>
      <w:r w:rsidR="003160F7" w:rsidRPr="00467C54">
        <w:rPr>
          <w:rFonts w:asciiTheme="majorHAnsi" w:hAnsiTheme="majorHAnsi"/>
        </w:rPr>
        <w:t>f ways of attempting to do this:</w:t>
      </w:r>
      <w:r w:rsidRPr="00467C54">
        <w:rPr>
          <w:rFonts w:asciiTheme="majorHAnsi" w:hAnsiTheme="majorHAnsi"/>
        </w:rPr>
        <w:t xml:space="preserve"> Factor Analysis, Principal Component Analysis, Projection Pursuit, </w:t>
      </w:r>
      <w:r w:rsidR="003160F7" w:rsidRPr="00467C54">
        <w:rPr>
          <w:rFonts w:asciiTheme="majorHAnsi" w:hAnsiTheme="majorHAnsi"/>
        </w:rPr>
        <w:t>and Multidimensional</w:t>
      </w:r>
      <w:r w:rsidR="00A25B94" w:rsidRPr="00467C54">
        <w:rPr>
          <w:rFonts w:asciiTheme="majorHAnsi" w:hAnsiTheme="majorHAnsi"/>
        </w:rPr>
        <w:t xml:space="preserve"> Scaling.  In SPSS </w:t>
      </w:r>
      <w:r w:rsidRPr="00467C54">
        <w:rPr>
          <w:rFonts w:asciiTheme="majorHAnsi" w:hAnsiTheme="majorHAnsi"/>
        </w:rPr>
        <w:t>there are three approaches offered; Factor Analysis, Correspondence Analysis, Optimal Scaling.  Factor Analysis has been used widely, for example a standard tool used in Service Quality</w:t>
      </w:r>
      <w:r w:rsidR="006F6711" w:rsidRPr="00467C54">
        <w:rPr>
          <w:rFonts w:asciiTheme="majorHAnsi" w:hAnsiTheme="majorHAnsi"/>
        </w:rPr>
        <w:fldChar w:fldCharType="begin" w:fldLock="1"/>
      </w:r>
      <w:r w:rsidR="00EB25FC" w:rsidRPr="00467C54">
        <w:rPr>
          <w:rFonts w:asciiTheme="majorHAnsi" w:hAnsiTheme="majorHAnsi"/>
        </w:rPr>
        <w:instrText>ADDIN CSL_CITATION { "citationItems" : [ { "id" : "ITEM-1", "itemData" : { "DOI" : "10.1111/j.1438-8677.2010.00335.x", "ISBN" : "0415087228", "abstract" : "In a previous article we presented SERVQUAL, a multiple-item scale for measuring service quality (Parasuraman, Zeithaml, and Berry 1988). In the present article, we discuss findings from a follow-up study in which we refined SERVQUAL and replicated it in five different customer samples. We also compare our findings with those of other researchers who have recently employed and evaluated SERVQUAL. On the basis of insights from this comparative discussion, we offer directions for future SERVQUAL research and applications. ABSTRACT FROM AUTHOR Copyright of Journal of Retailing is the property of Elsevier Science Publishing Company,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"family" : "Parasuraman", "given" : "A" }, { "family" : "Berry", "given" : "Leonard L" }, { "family" : "Zeithaml", "given" : "Valarie A" } ], "container-title" : "Journal of Retailing", "id" : "ITEM-1", "issue" : "4", "issued" : { "date-parts" : [ [ "1991" ] ] }, "page" : "420-450", "publisher" : "Routledge", "title" : "Refinement and reassessment of the SERVQUAL scale", "type" : "article-journal", "volume" : "67" }, "uris" : [ "http://www.mendeley.com/documents/?uuid=2214ed91-882f-425d-b461-48499995e02f" ] } ], "mendeley" : { "previouslyFormattedCitation" : "&lt;sup&gt;10&lt;/sup&gt;" }, "properties" : { "noteIndex" : 0 }, "schema" : "https://github.com/citation-style-language/schema/raw/master/csl-citation.json" }</w:instrText>
      </w:r>
      <w:r w:rsidR="006F6711" w:rsidRPr="00467C54">
        <w:rPr>
          <w:rFonts w:asciiTheme="majorHAnsi" w:hAnsiTheme="majorHAnsi"/>
        </w:rPr>
        <w:fldChar w:fldCharType="separate"/>
      </w:r>
      <w:r w:rsidR="00EB25FC" w:rsidRPr="00467C54">
        <w:rPr>
          <w:rFonts w:asciiTheme="majorHAnsi" w:hAnsiTheme="majorHAnsi"/>
          <w:noProof/>
          <w:vertAlign w:val="superscript"/>
        </w:rPr>
        <w:t>10</w:t>
      </w:r>
      <w:r w:rsidR="006F6711" w:rsidRPr="00467C54">
        <w:rPr>
          <w:rFonts w:asciiTheme="majorHAnsi" w:hAnsiTheme="majorHAnsi"/>
        </w:rPr>
        <w:fldChar w:fldCharType="end"/>
      </w:r>
      <w:r w:rsidRPr="00467C54">
        <w:rPr>
          <w:rFonts w:asciiTheme="majorHAnsi" w:hAnsiTheme="majorHAnsi"/>
        </w:rPr>
        <w:t>, SERVQUAL, was established using Factor Analysis.</w:t>
      </w:r>
      <w:r w:rsidR="00FE4BC1" w:rsidRPr="00467C54">
        <w:rPr>
          <w:rFonts w:asciiTheme="majorHAnsi" w:hAnsiTheme="majorHAnsi"/>
        </w:rPr>
        <w:t xml:space="preserve"> </w:t>
      </w:r>
    </w:p>
    <w:p w:rsidR="007E3E4B" w:rsidRPr="00467C54" w:rsidRDefault="007E3E4B" w:rsidP="005A0156">
      <w:pPr>
        <w:rPr>
          <w:rFonts w:asciiTheme="majorHAnsi" w:hAnsiTheme="majorHAnsi"/>
        </w:rPr>
      </w:pPr>
    </w:p>
    <w:p w:rsidR="00411B5D" w:rsidRPr="00467C54" w:rsidRDefault="00411B5D" w:rsidP="005A0156">
      <w:pPr>
        <w:rPr>
          <w:rFonts w:asciiTheme="majorHAnsi" w:hAnsiTheme="majorHAnsi"/>
        </w:rPr>
      </w:pPr>
      <w:r w:rsidRPr="00467C54">
        <w:rPr>
          <w:rFonts w:asciiTheme="majorHAnsi" w:hAnsiTheme="majorHAnsi"/>
        </w:rPr>
        <w:t xml:space="preserve">As a very simple explanation we reduce the problem as follows.  Imagine that there were five questions to respond to, but a reduction was </w:t>
      </w:r>
      <w:r w:rsidR="003160F7" w:rsidRPr="00467C54">
        <w:rPr>
          <w:rFonts w:asciiTheme="majorHAnsi" w:hAnsiTheme="majorHAnsi"/>
        </w:rPr>
        <w:t>sought in this number.  Suppose</w:t>
      </w:r>
      <w:r w:rsidRPr="00467C54">
        <w:rPr>
          <w:rFonts w:asciiTheme="majorHAnsi" w:hAnsiTheme="majorHAnsi"/>
        </w:rPr>
        <w:t xml:space="preserve"> it was thought that there were two basic factors (in practice this is not known, and part of the tool set is to offer information on how many factors might be present).  Thus we could think of the data as</w:t>
      </w:r>
    </w:p>
    <w:p w:rsidR="00411B5D" w:rsidRPr="00467C54" w:rsidRDefault="00411B5D" w:rsidP="005A0156">
      <w:pPr>
        <w:rPr>
          <w:rFonts w:asciiTheme="majorHAnsi" w:hAnsiTheme="majorHAnsi"/>
        </w:rPr>
      </w:pPr>
    </w:p>
    <w:p w:rsidR="00411B5D" w:rsidRPr="00467C54" w:rsidRDefault="00411B5D" w:rsidP="005A0156">
      <w:pPr>
        <w:ind w:left="1134"/>
        <w:rPr>
          <w:rFonts w:asciiTheme="majorHAnsi" w:hAnsiTheme="majorHAnsi"/>
        </w:rPr>
      </w:pPr>
      <w:r w:rsidRPr="00467C54">
        <w:rPr>
          <w:rFonts w:asciiTheme="majorHAnsi" w:hAnsiTheme="majorHAnsi"/>
        </w:rPr>
        <w:t>Response 1 = aFactor 1 + bFactor 2 + Error</w:t>
      </w:r>
    </w:p>
    <w:p w:rsidR="00411B5D" w:rsidRPr="00467C54" w:rsidRDefault="00411B5D" w:rsidP="005A0156">
      <w:pPr>
        <w:ind w:left="1134"/>
        <w:rPr>
          <w:rFonts w:asciiTheme="majorHAnsi" w:hAnsiTheme="majorHAnsi"/>
        </w:rPr>
      </w:pPr>
      <w:r w:rsidRPr="00467C54">
        <w:rPr>
          <w:rFonts w:asciiTheme="majorHAnsi" w:hAnsiTheme="majorHAnsi"/>
        </w:rPr>
        <w:t>Response 2 =  cFactor 1 + dFactor 2 + Error</w:t>
      </w:r>
    </w:p>
    <w:p w:rsidR="00411B5D" w:rsidRPr="00467C54" w:rsidRDefault="00411B5D" w:rsidP="005A0156">
      <w:pPr>
        <w:tabs>
          <w:tab w:val="left" w:pos="1395"/>
        </w:tabs>
        <w:ind w:left="1134"/>
        <w:rPr>
          <w:rFonts w:asciiTheme="majorHAnsi" w:hAnsiTheme="majorHAnsi"/>
        </w:rPr>
      </w:pPr>
      <w:r w:rsidRPr="00467C54">
        <w:rPr>
          <w:rFonts w:asciiTheme="majorHAnsi" w:hAnsiTheme="majorHAnsi"/>
        </w:rPr>
        <w:t>:</w:t>
      </w:r>
    </w:p>
    <w:p w:rsidR="00411B5D" w:rsidRPr="00467C54" w:rsidRDefault="00411B5D" w:rsidP="005A0156">
      <w:pPr>
        <w:ind w:left="1134"/>
        <w:rPr>
          <w:rFonts w:asciiTheme="majorHAnsi" w:hAnsiTheme="majorHAnsi"/>
        </w:rPr>
      </w:pPr>
      <w:r w:rsidRPr="00467C54">
        <w:rPr>
          <w:rFonts w:asciiTheme="majorHAnsi" w:hAnsiTheme="majorHAnsi"/>
        </w:rPr>
        <w:t>:</w:t>
      </w:r>
    </w:p>
    <w:p w:rsidR="00411B5D" w:rsidRPr="00467C54" w:rsidRDefault="00411B5D" w:rsidP="005A0156">
      <w:pPr>
        <w:ind w:left="1134"/>
        <w:rPr>
          <w:rFonts w:asciiTheme="majorHAnsi" w:hAnsiTheme="majorHAnsi"/>
        </w:rPr>
      </w:pPr>
      <w:r w:rsidRPr="00467C54">
        <w:rPr>
          <w:rFonts w:asciiTheme="majorHAnsi" w:hAnsiTheme="majorHAnsi"/>
        </w:rPr>
        <w:t>Response 5 = iFactor 1 + jFactor 2 + Error</w:t>
      </w:r>
    </w:p>
    <w:p w:rsidR="00411B5D" w:rsidRPr="00467C54" w:rsidRDefault="00411B5D" w:rsidP="005A0156">
      <w:pPr>
        <w:rPr>
          <w:rFonts w:asciiTheme="majorHAnsi" w:hAnsiTheme="majorHAnsi"/>
        </w:rPr>
      </w:pPr>
    </w:p>
    <w:p w:rsidR="00411B5D" w:rsidRPr="00467C54" w:rsidRDefault="00411B5D" w:rsidP="005A0156">
      <w:pPr>
        <w:rPr>
          <w:rFonts w:asciiTheme="majorHAnsi" w:hAnsiTheme="majorHAnsi"/>
        </w:rPr>
      </w:pPr>
      <w:r w:rsidRPr="00467C54">
        <w:rPr>
          <w:rFonts w:asciiTheme="majorHAnsi" w:hAnsiTheme="majorHAnsi"/>
        </w:rPr>
        <w:t>The a,b,c . .  I,j are unknown constants and differ for each respondent; these are called the factor loadings.  By some standard mathematics, we can identify the factors.  Basically this produces a</w:t>
      </w:r>
      <w:r w:rsidR="003160F7" w:rsidRPr="00467C54">
        <w:rPr>
          <w:rFonts w:asciiTheme="majorHAnsi" w:hAnsiTheme="majorHAnsi"/>
        </w:rPr>
        <w:t>n inverse of what we have above, giving</w:t>
      </w:r>
    </w:p>
    <w:p w:rsidR="00411B5D" w:rsidRPr="00467C54" w:rsidRDefault="00411B5D" w:rsidP="005A0156">
      <w:pPr>
        <w:rPr>
          <w:rFonts w:asciiTheme="majorHAnsi" w:hAnsiTheme="majorHAnsi"/>
        </w:rPr>
      </w:pPr>
    </w:p>
    <w:p w:rsidR="00411B5D" w:rsidRPr="00467C54" w:rsidRDefault="00411B5D" w:rsidP="005A0156">
      <w:pPr>
        <w:pStyle w:val="NoSpacing"/>
        <w:ind w:left="142"/>
        <w:rPr>
          <w:rFonts w:asciiTheme="majorHAnsi" w:hAnsiTheme="majorHAnsi"/>
        </w:rPr>
      </w:pPr>
      <w:r w:rsidRPr="00467C54">
        <w:rPr>
          <w:rFonts w:asciiTheme="majorHAnsi" w:hAnsiTheme="majorHAnsi"/>
        </w:rPr>
        <w:t>Factor 1 = mResponse 1 + nResponse 2 + pResponse 3 + qResponse4 + rResponse 5</w:t>
      </w:r>
    </w:p>
    <w:p w:rsidR="00411B5D" w:rsidRPr="00467C54" w:rsidRDefault="00411B5D" w:rsidP="005A0156">
      <w:pPr>
        <w:pStyle w:val="NoSpacing"/>
        <w:ind w:left="142"/>
        <w:rPr>
          <w:rFonts w:asciiTheme="majorHAnsi" w:hAnsiTheme="majorHAnsi"/>
        </w:rPr>
      </w:pPr>
      <w:r w:rsidRPr="00467C54">
        <w:rPr>
          <w:rFonts w:asciiTheme="majorHAnsi" w:hAnsiTheme="majorHAnsi"/>
        </w:rPr>
        <w:t>Factor 2 = sResponse 1 + tResponse 2 + uResponse 3 + vResponse4 + wResponse 5</w:t>
      </w:r>
    </w:p>
    <w:p w:rsidR="00411B5D" w:rsidRPr="00467C54" w:rsidRDefault="00411B5D" w:rsidP="005A0156">
      <w:pPr>
        <w:spacing w:before="100" w:beforeAutospacing="1" w:after="100" w:afterAutospacing="1"/>
        <w:rPr>
          <w:rFonts w:asciiTheme="majorHAnsi" w:eastAsia="Times New Roman" w:hAnsiTheme="majorHAnsi" w:cs="Times New Roman"/>
          <w:sz w:val="24"/>
          <w:szCs w:val="24"/>
          <w:lang w:eastAsia="en-GB"/>
        </w:rPr>
      </w:pPr>
      <w:r w:rsidRPr="00467C54">
        <w:rPr>
          <w:rFonts w:asciiTheme="majorHAnsi" w:hAnsiTheme="majorHAnsi"/>
        </w:rPr>
        <w:t xml:space="preserve">In practice it has been found that the picture usually becomes clearer if we make a rotation of the original dimensions at the start. </w:t>
      </w:r>
      <w:r w:rsidR="00921193" w:rsidRPr="00467C54">
        <w:rPr>
          <w:rFonts w:asciiTheme="majorHAnsi" w:hAnsiTheme="majorHAnsi"/>
        </w:rPr>
        <w:t>The reason is that proceeding</w:t>
      </w:r>
      <w:r w:rsidR="0050143E" w:rsidRPr="00467C54">
        <w:rPr>
          <w:rFonts w:asciiTheme="majorHAnsi" w:hAnsiTheme="majorHAnsi"/>
        </w:rPr>
        <w:t xml:space="preserve"> directly to factor analysis unrotated </w:t>
      </w:r>
      <w:r w:rsidR="00921193" w:rsidRPr="00467C54">
        <w:rPr>
          <w:rFonts w:asciiTheme="majorHAnsi" w:hAnsiTheme="majorHAnsi"/>
        </w:rPr>
        <w:t>usually finds</w:t>
      </w:r>
      <w:r w:rsidR="0050143E" w:rsidRPr="00467C54">
        <w:rPr>
          <w:rFonts w:asciiTheme="majorHAnsi" w:hAnsiTheme="majorHAnsi"/>
        </w:rPr>
        <w:t xml:space="preserve"> all the items load</w:t>
      </w:r>
      <w:r w:rsidR="00921193" w:rsidRPr="00467C54">
        <w:rPr>
          <w:rFonts w:asciiTheme="majorHAnsi" w:hAnsiTheme="majorHAnsi"/>
        </w:rPr>
        <w:t>ing</w:t>
      </w:r>
      <w:r w:rsidR="0050143E" w:rsidRPr="00467C54">
        <w:rPr>
          <w:rFonts w:asciiTheme="majorHAnsi" w:hAnsiTheme="majorHAnsi"/>
        </w:rPr>
        <w:t xml:space="preserve"> on</w:t>
      </w:r>
      <w:r w:rsidR="00921193" w:rsidRPr="00467C54">
        <w:rPr>
          <w:rFonts w:asciiTheme="majorHAnsi" w:hAnsiTheme="majorHAnsi"/>
        </w:rPr>
        <w:t>to</w:t>
      </w:r>
      <w:r w:rsidR="0050143E" w:rsidRPr="00467C54">
        <w:rPr>
          <w:rFonts w:asciiTheme="majorHAnsi" w:hAnsiTheme="majorHAnsi"/>
        </w:rPr>
        <w:t xml:space="preserve"> the first couple of factors. </w:t>
      </w:r>
      <w:r w:rsidR="00921193" w:rsidRPr="00467C54">
        <w:rPr>
          <w:rFonts w:asciiTheme="majorHAnsi" w:hAnsiTheme="majorHAnsi"/>
        </w:rPr>
        <w:t>Rotation avoids this and t</w:t>
      </w:r>
      <w:r w:rsidRPr="00467C54">
        <w:rPr>
          <w:rFonts w:asciiTheme="majorHAnsi" w:hAnsiTheme="majorHAnsi"/>
        </w:rPr>
        <w:t xml:space="preserve">he outcome is that we usually can produce a marked reduction in dimensionality.  Often we can “name” the new dimensions by considering how they are produced.  Thus in Factor 1 above if m and p are large positive values and r is large and negative this may give us a way of understanding the “new” dimension.  For example, </w:t>
      </w:r>
      <w:r w:rsidR="001A15C1" w:rsidRPr="00467C54">
        <w:rPr>
          <w:rFonts w:asciiTheme="majorHAnsi" w:hAnsiTheme="majorHAnsi"/>
        </w:rPr>
        <w:t>this is what we did in the interim report to infer the presence of the factor structure illustrated in figure 1</w:t>
      </w:r>
      <w:r w:rsidR="00686A80" w:rsidRPr="00467C54">
        <w:rPr>
          <w:rFonts w:asciiTheme="majorHAnsi" w:hAnsiTheme="majorHAnsi"/>
        </w:rPr>
        <w:t>.</w:t>
      </w:r>
    </w:p>
    <w:p w:rsidR="00C1332F" w:rsidRPr="00467C54" w:rsidRDefault="00C1332F" w:rsidP="005A0156">
      <w:pPr>
        <w:rPr>
          <w:rFonts w:asciiTheme="majorHAnsi" w:hAnsiTheme="majorHAnsi" w:cstheme="minorHAnsi"/>
        </w:rPr>
      </w:pPr>
      <w:r w:rsidRPr="00467C54">
        <w:rPr>
          <w:rFonts w:asciiTheme="majorHAnsi" w:hAnsiTheme="majorHAnsi" w:cstheme="minorHAnsi"/>
        </w:rPr>
        <w:t>However, whilst very useful for identifying patterns within responses to items and hence drawing attention to underlying structure</w:t>
      </w:r>
      <w:r w:rsidR="001A15C1" w:rsidRPr="00467C54">
        <w:rPr>
          <w:rFonts w:asciiTheme="majorHAnsi" w:hAnsiTheme="majorHAnsi" w:cstheme="minorHAnsi"/>
        </w:rPr>
        <w:t xml:space="preserve"> and correlations between items</w:t>
      </w:r>
      <w:r w:rsidRPr="00467C54">
        <w:rPr>
          <w:rFonts w:asciiTheme="majorHAnsi" w:hAnsiTheme="majorHAnsi" w:cstheme="minorHAnsi"/>
        </w:rPr>
        <w:t>, factor analysis is limited in the amount of information it can give us in relation to individual item performance within a scale, or if the scale is the right one to be using for a particular sample. Item response theory helps in this regard.</w:t>
      </w:r>
    </w:p>
    <w:p w:rsidR="00C1332F" w:rsidRPr="00467C54" w:rsidRDefault="00C1332F" w:rsidP="005A0156">
      <w:pPr>
        <w:rPr>
          <w:rFonts w:asciiTheme="majorHAnsi" w:hAnsiTheme="majorHAnsi" w:cstheme="minorHAnsi"/>
        </w:rPr>
      </w:pPr>
    </w:p>
    <w:p w:rsidR="00B83190" w:rsidRPr="00467C54" w:rsidRDefault="00173375" w:rsidP="005A0156">
      <w:pPr>
        <w:rPr>
          <w:rFonts w:asciiTheme="majorHAnsi" w:hAnsiTheme="majorHAnsi" w:cstheme="minorHAnsi"/>
        </w:rPr>
      </w:pPr>
      <w:r w:rsidRPr="00467C54">
        <w:rPr>
          <w:rFonts w:asciiTheme="majorHAnsi" w:hAnsiTheme="majorHAnsi" w:cstheme="minorHAnsi"/>
        </w:rPr>
        <w:t xml:space="preserve">All data were also imported into WINSTEPS </w:t>
      </w:r>
      <w:r w:rsidR="001F71B4" w:rsidRPr="00467C54">
        <w:rPr>
          <w:rFonts w:asciiTheme="majorHAnsi" w:hAnsiTheme="majorHAnsi" w:cstheme="minorHAnsi"/>
        </w:rPr>
        <w:t xml:space="preserve">and jMetrik </w:t>
      </w:r>
      <w:r w:rsidR="000F7476" w:rsidRPr="00467C54">
        <w:rPr>
          <w:rFonts w:asciiTheme="majorHAnsi" w:hAnsiTheme="majorHAnsi" w:cstheme="minorHAnsi"/>
        </w:rPr>
        <w:t>for item response theory (IRT) analysis</w:t>
      </w:r>
      <w:r w:rsidR="002068C9" w:rsidRPr="00467C54">
        <w:rPr>
          <w:rFonts w:asciiTheme="majorHAnsi" w:hAnsiTheme="majorHAnsi" w:cstheme="minorHAnsi"/>
        </w:rPr>
        <w:t>.</w:t>
      </w:r>
      <w:r w:rsidR="0098234F" w:rsidRPr="00467C54">
        <w:rPr>
          <w:rFonts w:asciiTheme="majorHAnsi" w:hAnsiTheme="majorHAnsi" w:cstheme="minorHAnsi"/>
        </w:rPr>
        <w:t xml:space="preserve"> </w:t>
      </w:r>
      <w:r w:rsidR="002B1A12" w:rsidRPr="00467C54">
        <w:rPr>
          <w:rFonts w:asciiTheme="majorHAnsi" w:hAnsiTheme="majorHAnsi" w:cs="Arial"/>
          <w:lang w:val="en-US"/>
        </w:rPr>
        <w:t xml:space="preserve">The basic idea of IRT models is that there is an underlying trait that is reflected in the response to the test or survey items. This fits with the assumption that the </w:t>
      </w:r>
      <w:r w:rsidR="001B0018" w:rsidRPr="00467C54">
        <w:rPr>
          <w:rFonts w:asciiTheme="majorHAnsi" w:hAnsiTheme="majorHAnsi" w:cs="Arial"/>
          <w:lang w:val="en-US"/>
        </w:rPr>
        <w:t>NHSEEI</w:t>
      </w:r>
      <w:r w:rsidR="002B1A12" w:rsidRPr="00467C54">
        <w:rPr>
          <w:rFonts w:asciiTheme="majorHAnsi" w:hAnsiTheme="majorHAnsi" w:cs="Arial"/>
          <w:lang w:val="en-US"/>
        </w:rPr>
        <w:t xml:space="preserve"> is measuring the trait of staff engagement.</w:t>
      </w:r>
      <w:r w:rsidR="002B1A12" w:rsidRPr="00467C54">
        <w:rPr>
          <w:rFonts w:asciiTheme="majorHAnsi" w:hAnsiTheme="majorHAnsi" w:cstheme="minorHAnsi"/>
        </w:rPr>
        <w:t xml:space="preserve"> </w:t>
      </w:r>
      <w:r w:rsidR="00411B5D" w:rsidRPr="00467C54">
        <w:rPr>
          <w:rFonts w:asciiTheme="majorHAnsi" w:hAnsiTheme="majorHAnsi" w:cstheme="minorHAnsi"/>
        </w:rPr>
        <w:t xml:space="preserve">Rasch analysis is </w:t>
      </w:r>
      <w:r w:rsidR="00B83190" w:rsidRPr="00467C54">
        <w:rPr>
          <w:rFonts w:asciiTheme="majorHAnsi" w:hAnsiTheme="majorHAnsi" w:cstheme="minorHAnsi"/>
        </w:rPr>
        <w:t>a relative of</w:t>
      </w:r>
      <w:r w:rsidR="00411B5D" w:rsidRPr="00467C54">
        <w:rPr>
          <w:rFonts w:asciiTheme="majorHAnsi" w:hAnsiTheme="majorHAnsi" w:cstheme="minorHAnsi"/>
        </w:rPr>
        <w:t xml:space="preserve"> </w:t>
      </w:r>
      <w:r w:rsidR="000F7476" w:rsidRPr="00467C54">
        <w:rPr>
          <w:rFonts w:asciiTheme="majorHAnsi" w:hAnsiTheme="majorHAnsi" w:cstheme="minorHAnsi"/>
        </w:rPr>
        <w:t>IRT analysis</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"Bond", "given" : "T.G." }, { "family" : "Fox", "given" : "C.M." } ], "edition" : "2", "id" : "ITEM-1", "issued" : { "date-parts" : [ [ "2007" ] ] }, "note" : "&lt;m:note/&gt;", "page" : "339", "publisher" : "Routeledge", "publisher-place" : "New York, NY", "title" : "Applying the Rasch Model. Fundamental Measurement in the Human Sciences", "type" : "book" }, "uris" : [ "http://www.mendeley.com/documents/?uuid=57995585-e7a8-4247-96b8-089e515a24f5" ] } ], "mendeley" : { "previouslyFormattedCitation" : "&lt;sup&gt;11&lt;/sup&gt;"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11</w:t>
      </w:r>
      <w:r w:rsidR="006F6711" w:rsidRPr="00467C54">
        <w:rPr>
          <w:rFonts w:asciiTheme="majorHAnsi" w:hAnsiTheme="majorHAnsi" w:cstheme="minorHAnsi"/>
        </w:rPr>
        <w:fldChar w:fldCharType="end"/>
      </w:r>
      <w:r w:rsidR="001A15C1" w:rsidRPr="00467C54">
        <w:rPr>
          <w:rFonts w:asciiTheme="majorHAnsi" w:hAnsiTheme="majorHAnsi" w:cstheme="minorHAnsi"/>
        </w:rPr>
        <w:t>. In short, it uses the</w:t>
      </w:r>
      <w:r w:rsidR="00411B5D" w:rsidRPr="00467C54">
        <w:rPr>
          <w:rFonts w:asciiTheme="majorHAnsi" w:hAnsiTheme="majorHAnsi" w:cstheme="minorHAnsi"/>
        </w:rPr>
        <w:t xml:space="preserve"> dataset of response</w:t>
      </w:r>
      <w:r w:rsidR="00B83190" w:rsidRPr="00467C54">
        <w:rPr>
          <w:rFonts w:asciiTheme="majorHAnsi" w:hAnsiTheme="majorHAnsi" w:cstheme="minorHAnsi"/>
        </w:rPr>
        <w:t xml:space="preserve">s to construct probabilities on how likely a person is to get a particular item correct, and how likely individual items fit with the model constructed from this analysis. </w:t>
      </w:r>
      <w:r w:rsidR="00BA1189" w:rsidRPr="00467C54">
        <w:rPr>
          <w:rFonts w:asciiTheme="majorHAnsi" w:hAnsiTheme="majorHAnsi" w:cstheme="minorHAnsi"/>
        </w:rPr>
        <w:t xml:space="preserve">The endpoint is that the statistical technique </w:t>
      </w:r>
      <w:r w:rsidR="00B83190" w:rsidRPr="00467C54">
        <w:rPr>
          <w:rFonts w:asciiTheme="majorHAnsi" w:hAnsiTheme="majorHAnsi" w:cstheme="minorHAnsi"/>
        </w:rPr>
        <w:t>calculate</w:t>
      </w:r>
      <w:r w:rsidR="00BA1189" w:rsidRPr="00467C54">
        <w:rPr>
          <w:rFonts w:asciiTheme="majorHAnsi" w:hAnsiTheme="majorHAnsi" w:cstheme="minorHAnsi"/>
        </w:rPr>
        <w:t>s</w:t>
      </w:r>
      <w:r w:rsidR="00B83190" w:rsidRPr="00467C54">
        <w:rPr>
          <w:rFonts w:asciiTheme="majorHAnsi" w:hAnsiTheme="majorHAnsi" w:cstheme="minorHAnsi"/>
        </w:rPr>
        <w:t xml:space="preserve"> how ‘difficult’ particular questionnaire items are, and how well individuals perform on the overall test. Because both these measures are standardised to appear on the same scale we can then estimate the probability of a particular person </w:t>
      </w:r>
      <w:r w:rsidR="002B1A12" w:rsidRPr="00467C54">
        <w:rPr>
          <w:rFonts w:asciiTheme="majorHAnsi" w:hAnsiTheme="majorHAnsi" w:cstheme="minorHAnsi"/>
        </w:rPr>
        <w:t>endorsing</w:t>
      </w:r>
      <w:r w:rsidR="00B83190" w:rsidRPr="00467C54">
        <w:rPr>
          <w:rFonts w:asciiTheme="majorHAnsi" w:hAnsiTheme="majorHAnsi" w:cstheme="minorHAnsi"/>
        </w:rPr>
        <w:t xml:space="preserve"> a particular item </w:t>
      </w:r>
      <w:r w:rsidR="002B1A12" w:rsidRPr="00467C54">
        <w:rPr>
          <w:rFonts w:asciiTheme="majorHAnsi" w:hAnsiTheme="majorHAnsi" w:cstheme="minorHAnsi"/>
        </w:rPr>
        <w:t>based on their level of engagement</w:t>
      </w:r>
      <w:r w:rsidR="00B83190" w:rsidRPr="00467C54">
        <w:rPr>
          <w:rFonts w:asciiTheme="majorHAnsi" w:hAnsiTheme="majorHAnsi" w:cstheme="minorHAnsi"/>
        </w:rPr>
        <w:t>. For example if the person ability and the item difficulty appear at the same point t</w:t>
      </w:r>
      <w:r w:rsidR="00BA1189" w:rsidRPr="00467C54">
        <w:rPr>
          <w:rFonts w:asciiTheme="majorHAnsi" w:hAnsiTheme="majorHAnsi" w:cstheme="minorHAnsi"/>
        </w:rPr>
        <w:t>hen this would indicate that that</w:t>
      </w:r>
      <w:r w:rsidR="00B83190" w:rsidRPr="00467C54">
        <w:rPr>
          <w:rFonts w:asciiTheme="majorHAnsi" w:hAnsiTheme="majorHAnsi" w:cstheme="minorHAnsi"/>
        </w:rPr>
        <w:t xml:space="preserve"> person has a 50/50 chance of </w:t>
      </w:r>
      <w:r w:rsidR="002B1A12" w:rsidRPr="00467C54">
        <w:rPr>
          <w:rFonts w:asciiTheme="majorHAnsi" w:hAnsiTheme="majorHAnsi" w:cstheme="minorHAnsi"/>
        </w:rPr>
        <w:t xml:space="preserve">endorsing that </w:t>
      </w:r>
      <w:r w:rsidR="00BA1189" w:rsidRPr="00467C54">
        <w:rPr>
          <w:rFonts w:asciiTheme="majorHAnsi" w:hAnsiTheme="majorHAnsi" w:cstheme="minorHAnsi"/>
        </w:rPr>
        <w:t xml:space="preserve">particular </w:t>
      </w:r>
      <w:r w:rsidR="002B1A12" w:rsidRPr="00467C54">
        <w:rPr>
          <w:rFonts w:asciiTheme="majorHAnsi" w:hAnsiTheme="majorHAnsi" w:cstheme="minorHAnsi"/>
        </w:rPr>
        <w:t>item</w:t>
      </w:r>
      <w:r w:rsidR="00B83190" w:rsidRPr="00467C54">
        <w:rPr>
          <w:rFonts w:asciiTheme="majorHAnsi" w:hAnsiTheme="majorHAnsi" w:cstheme="minorHAnsi"/>
        </w:rPr>
        <w:t>.</w:t>
      </w:r>
    </w:p>
    <w:p w:rsidR="001F71B4" w:rsidRPr="00467C54" w:rsidRDefault="001F71B4" w:rsidP="005A0156">
      <w:pPr>
        <w:rPr>
          <w:rFonts w:asciiTheme="majorHAnsi" w:hAnsiTheme="majorHAnsi" w:cstheme="minorHAnsi"/>
        </w:rPr>
      </w:pPr>
    </w:p>
    <w:p w:rsidR="00B83190" w:rsidRPr="00467C54" w:rsidRDefault="005113EE" w:rsidP="005A0156">
      <w:pPr>
        <w:rPr>
          <w:rFonts w:asciiTheme="majorHAnsi" w:hAnsiTheme="majorHAnsi" w:cstheme="minorHAnsi"/>
        </w:rPr>
      </w:pPr>
      <w:r w:rsidRPr="00467C54">
        <w:rPr>
          <w:rFonts w:asciiTheme="majorHAnsi" w:hAnsiTheme="majorHAnsi" w:cstheme="minorHAnsi"/>
        </w:rPr>
        <w:t>Item response theory</w:t>
      </w:r>
      <w:r w:rsidR="001F71B4" w:rsidRPr="00467C54">
        <w:rPr>
          <w:rFonts w:asciiTheme="majorHAnsi" w:hAnsiTheme="majorHAnsi" w:cstheme="minorHAnsi"/>
        </w:rPr>
        <w:t xml:space="preserve"> is also very useful for ascertaining how individual items perform within a questionnaire. Item characteristic curves (ICC) can be constructed</w:t>
      </w:r>
      <w:r w:rsidRPr="00467C54">
        <w:rPr>
          <w:rFonts w:asciiTheme="majorHAnsi" w:hAnsiTheme="majorHAnsi" w:cstheme="minorHAnsi"/>
        </w:rPr>
        <w:t xml:space="preserve"> within jMetrik to show the parameters at which a certain likelihood of Likert response should be expected. In other words it can illustrate whether the categories of Likert responses are </w:t>
      </w:r>
      <w:r w:rsidR="00170B15" w:rsidRPr="00467C54">
        <w:rPr>
          <w:rFonts w:asciiTheme="majorHAnsi" w:hAnsiTheme="majorHAnsi" w:cstheme="minorHAnsi"/>
        </w:rPr>
        <w:t xml:space="preserve">a) </w:t>
      </w:r>
      <w:r w:rsidRPr="00467C54">
        <w:rPr>
          <w:rFonts w:asciiTheme="majorHAnsi" w:hAnsiTheme="majorHAnsi" w:cstheme="minorHAnsi"/>
        </w:rPr>
        <w:t xml:space="preserve">necessary and </w:t>
      </w:r>
      <w:r w:rsidR="00170B15" w:rsidRPr="00467C54">
        <w:rPr>
          <w:rFonts w:asciiTheme="majorHAnsi" w:hAnsiTheme="majorHAnsi" w:cstheme="minorHAnsi"/>
        </w:rPr>
        <w:t xml:space="preserve">b) </w:t>
      </w:r>
      <w:r w:rsidRPr="00467C54">
        <w:rPr>
          <w:rFonts w:asciiTheme="majorHAnsi" w:hAnsiTheme="majorHAnsi" w:cstheme="minorHAnsi"/>
        </w:rPr>
        <w:t>how likely a certain partic</w:t>
      </w:r>
      <w:r w:rsidR="00BA1189" w:rsidRPr="00467C54">
        <w:rPr>
          <w:rFonts w:asciiTheme="majorHAnsi" w:hAnsiTheme="majorHAnsi" w:cstheme="minorHAnsi"/>
        </w:rPr>
        <w:t>ipant would be to answer</w:t>
      </w:r>
      <w:r w:rsidR="00170B15" w:rsidRPr="00467C54">
        <w:rPr>
          <w:rFonts w:asciiTheme="majorHAnsi" w:hAnsiTheme="majorHAnsi" w:cstheme="minorHAnsi"/>
        </w:rPr>
        <w:t xml:space="preserve"> a particular question</w:t>
      </w:r>
      <w:r w:rsidR="00BA1189" w:rsidRPr="00467C54">
        <w:rPr>
          <w:rFonts w:asciiTheme="majorHAnsi" w:hAnsiTheme="majorHAnsi" w:cstheme="minorHAnsi"/>
        </w:rPr>
        <w:t xml:space="preserve"> in a certain</w:t>
      </w:r>
      <w:r w:rsidRPr="00467C54">
        <w:rPr>
          <w:rFonts w:asciiTheme="majorHAnsi" w:hAnsiTheme="majorHAnsi" w:cstheme="minorHAnsi"/>
        </w:rPr>
        <w:t xml:space="preserve"> way</w:t>
      </w:r>
      <w:r w:rsidR="00BA1189" w:rsidRPr="00467C54">
        <w:rPr>
          <w:rFonts w:asciiTheme="majorHAnsi" w:hAnsiTheme="majorHAnsi" w:cstheme="minorHAnsi"/>
        </w:rPr>
        <w:t xml:space="preserve"> (agree/strongly disagree etc)</w:t>
      </w:r>
      <w:r w:rsidRPr="00467C54">
        <w:rPr>
          <w:rFonts w:asciiTheme="majorHAnsi" w:hAnsiTheme="majorHAnsi" w:cstheme="minorHAnsi"/>
        </w:rPr>
        <w:t xml:space="preserve">. </w:t>
      </w:r>
      <w:r w:rsidR="00170B15" w:rsidRPr="00467C54">
        <w:rPr>
          <w:rFonts w:asciiTheme="majorHAnsi" w:hAnsiTheme="majorHAnsi" w:cstheme="minorHAnsi"/>
        </w:rPr>
        <w:t xml:space="preserve">This information is very useful for identifying anomalies in </w:t>
      </w:r>
      <w:r w:rsidR="00921193" w:rsidRPr="00467C54">
        <w:rPr>
          <w:rFonts w:asciiTheme="majorHAnsi" w:hAnsiTheme="majorHAnsi" w:cstheme="minorHAnsi"/>
        </w:rPr>
        <w:t xml:space="preserve">both items and </w:t>
      </w:r>
      <w:r w:rsidR="00170B15" w:rsidRPr="00467C54">
        <w:rPr>
          <w:rFonts w:asciiTheme="majorHAnsi" w:hAnsiTheme="majorHAnsi" w:cstheme="minorHAnsi"/>
        </w:rPr>
        <w:t xml:space="preserve">responses. </w:t>
      </w:r>
      <w:r w:rsidRPr="00467C54">
        <w:rPr>
          <w:rFonts w:asciiTheme="majorHAnsi" w:hAnsiTheme="majorHAnsi" w:cstheme="minorHAnsi"/>
        </w:rPr>
        <w:t xml:space="preserve">The </w:t>
      </w:r>
      <w:r w:rsidR="001F25C4" w:rsidRPr="00467C54">
        <w:rPr>
          <w:rFonts w:asciiTheme="majorHAnsi" w:hAnsiTheme="majorHAnsi" w:cstheme="minorHAnsi"/>
        </w:rPr>
        <w:t>analysis</w:t>
      </w:r>
      <w:r w:rsidRPr="00467C54">
        <w:rPr>
          <w:rFonts w:asciiTheme="majorHAnsi" w:hAnsiTheme="majorHAnsi" w:cstheme="minorHAnsi"/>
        </w:rPr>
        <w:t xml:space="preserve"> section </w:t>
      </w:r>
      <w:r w:rsidR="00FE4BC1" w:rsidRPr="00467C54">
        <w:rPr>
          <w:rFonts w:asciiTheme="majorHAnsi" w:hAnsiTheme="majorHAnsi" w:cstheme="minorHAnsi"/>
        </w:rPr>
        <w:t xml:space="preserve">summarises this </w:t>
      </w:r>
      <w:r w:rsidR="001B0018" w:rsidRPr="00467C54">
        <w:rPr>
          <w:rFonts w:asciiTheme="majorHAnsi" w:hAnsiTheme="majorHAnsi" w:cstheme="minorHAnsi"/>
        </w:rPr>
        <w:t>work.</w:t>
      </w:r>
    </w:p>
    <w:p w:rsidR="001B0018" w:rsidRPr="00467C54" w:rsidRDefault="001B0018" w:rsidP="005A0156">
      <w:pPr>
        <w:rPr>
          <w:rFonts w:asciiTheme="majorHAnsi" w:hAnsiTheme="majorHAnsi" w:cstheme="minorHAnsi"/>
        </w:rPr>
      </w:pPr>
    </w:p>
    <w:p w:rsidR="002068C9" w:rsidRPr="00467C54" w:rsidRDefault="00FE4BC1" w:rsidP="005A0156">
      <w:pPr>
        <w:rPr>
          <w:rFonts w:asciiTheme="majorHAnsi" w:hAnsiTheme="majorHAnsi" w:cstheme="minorHAnsi"/>
        </w:rPr>
      </w:pPr>
      <w:r w:rsidRPr="00467C54">
        <w:rPr>
          <w:rFonts w:asciiTheme="majorHAnsi" w:hAnsiTheme="majorHAnsi" w:cstheme="minorHAnsi"/>
        </w:rPr>
        <w:t>In summary, d</w:t>
      </w:r>
      <w:r w:rsidR="002068C9" w:rsidRPr="00467C54">
        <w:rPr>
          <w:rFonts w:asciiTheme="majorHAnsi" w:hAnsiTheme="majorHAnsi" w:cstheme="minorHAnsi"/>
        </w:rPr>
        <w:t>escriptives, f</w:t>
      </w:r>
      <w:r w:rsidR="00173375" w:rsidRPr="00467C54">
        <w:rPr>
          <w:rFonts w:asciiTheme="majorHAnsi" w:hAnsiTheme="majorHAnsi" w:cstheme="minorHAnsi"/>
        </w:rPr>
        <w:t>requencies</w:t>
      </w:r>
      <w:r w:rsidR="005E5BC2" w:rsidRPr="00467C54">
        <w:rPr>
          <w:rFonts w:asciiTheme="majorHAnsi" w:hAnsiTheme="majorHAnsi" w:cstheme="minorHAnsi"/>
        </w:rPr>
        <w:t xml:space="preserve">, </w:t>
      </w:r>
      <w:r w:rsidR="005113EE" w:rsidRPr="00467C54">
        <w:rPr>
          <w:rFonts w:asciiTheme="majorHAnsi" w:hAnsiTheme="majorHAnsi" w:cstheme="minorHAnsi"/>
        </w:rPr>
        <w:t>correlations and principal component analyses</w:t>
      </w:r>
      <w:r w:rsidR="00173375" w:rsidRPr="00467C54">
        <w:rPr>
          <w:rFonts w:asciiTheme="majorHAnsi" w:hAnsiTheme="majorHAnsi" w:cstheme="minorHAnsi"/>
        </w:rPr>
        <w:t xml:space="preserve"> </w:t>
      </w:r>
      <w:r w:rsidR="005113EE" w:rsidRPr="00467C54">
        <w:rPr>
          <w:rFonts w:asciiTheme="majorHAnsi" w:hAnsiTheme="majorHAnsi" w:cstheme="minorHAnsi"/>
        </w:rPr>
        <w:t>were conducted on the dataset. Rasch analysis was conducted including item and person estimates.</w:t>
      </w:r>
      <w:r w:rsidR="00173375" w:rsidRPr="00467C54">
        <w:rPr>
          <w:rFonts w:asciiTheme="majorHAnsi" w:hAnsiTheme="majorHAnsi" w:cstheme="minorHAnsi"/>
        </w:rPr>
        <w:t xml:space="preserve"> </w:t>
      </w:r>
      <w:r w:rsidR="005113EE" w:rsidRPr="00467C54">
        <w:rPr>
          <w:rFonts w:asciiTheme="majorHAnsi" w:hAnsiTheme="majorHAnsi" w:cstheme="minorHAnsi"/>
        </w:rPr>
        <w:t>I</w:t>
      </w:r>
      <w:r w:rsidR="00173375" w:rsidRPr="00467C54">
        <w:rPr>
          <w:rFonts w:asciiTheme="majorHAnsi" w:hAnsiTheme="majorHAnsi" w:cstheme="minorHAnsi"/>
        </w:rPr>
        <w:t xml:space="preserve">tem characteristic curves (ICC) were constructed to further ascertain the performance of individual items within the </w:t>
      </w:r>
      <w:r w:rsidR="005113EE" w:rsidRPr="00467C54">
        <w:rPr>
          <w:rFonts w:asciiTheme="majorHAnsi" w:hAnsiTheme="majorHAnsi" w:cstheme="minorHAnsi"/>
        </w:rPr>
        <w:t>questionnaire</w:t>
      </w:r>
      <w:r w:rsidR="00173375" w:rsidRPr="00467C54">
        <w:rPr>
          <w:rFonts w:asciiTheme="majorHAnsi" w:hAnsiTheme="majorHAnsi" w:cstheme="minorHAnsi"/>
        </w:rPr>
        <w:t>. The purpose of these analyses was</w:t>
      </w:r>
      <w:r w:rsidR="002068C9" w:rsidRPr="00467C54">
        <w:rPr>
          <w:rFonts w:asciiTheme="majorHAnsi" w:hAnsiTheme="majorHAnsi" w:cstheme="minorHAnsi"/>
        </w:rPr>
        <w:t>:</w:t>
      </w:r>
    </w:p>
    <w:p w:rsidR="006A500E" w:rsidRPr="00467C54" w:rsidRDefault="006A500E" w:rsidP="005A0156">
      <w:pPr>
        <w:rPr>
          <w:rFonts w:asciiTheme="majorHAnsi" w:hAnsiTheme="majorHAnsi" w:cstheme="minorHAnsi"/>
        </w:rPr>
      </w:pPr>
    </w:p>
    <w:p w:rsidR="001B0018" w:rsidRPr="00467C54" w:rsidRDefault="001B0018" w:rsidP="005A0156">
      <w:pPr>
        <w:pStyle w:val="ListParagraph"/>
        <w:numPr>
          <w:ilvl w:val="0"/>
          <w:numId w:val="4"/>
        </w:numPr>
        <w:rPr>
          <w:rFonts w:asciiTheme="majorHAnsi" w:hAnsiTheme="majorHAnsi" w:cstheme="minorHAnsi"/>
        </w:rPr>
      </w:pPr>
      <w:r w:rsidRPr="00467C54">
        <w:rPr>
          <w:rFonts w:asciiTheme="majorHAnsi" w:hAnsiTheme="majorHAnsi" w:cstheme="minorHAnsi"/>
        </w:rPr>
        <w:t>to describe and explain patterns within the responses to the questionnaire,</w:t>
      </w:r>
    </w:p>
    <w:p w:rsidR="002068C9" w:rsidRPr="00467C54" w:rsidRDefault="00173375" w:rsidP="005A0156">
      <w:pPr>
        <w:pStyle w:val="ListParagraph"/>
        <w:numPr>
          <w:ilvl w:val="0"/>
          <w:numId w:val="4"/>
        </w:numPr>
        <w:rPr>
          <w:rFonts w:asciiTheme="majorHAnsi" w:hAnsiTheme="majorHAnsi" w:cstheme="minorHAnsi"/>
        </w:rPr>
      </w:pPr>
      <w:r w:rsidRPr="00467C54">
        <w:rPr>
          <w:rFonts w:asciiTheme="majorHAnsi" w:hAnsiTheme="majorHAnsi" w:cstheme="minorHAnsi"/>
        </w:rPr>
        <w:t xml:space="preserve">to ascertain whether the </w:t>
      </w:r>
      <w:r w:rsidR="001B0018" w:rsidRPr="00467C54">
        <w:rPr>
          <w:rFonts w:asciiTheme="majorHAnsi" w:hAnsiTheme="majorHAnsi" w:cstheme="minorHAnsi"/>
        </w:rPr>
        <w:t>NHSEEI</w:t>
      </w:r>
      <w:r w:rsidRPr="00467C54">
        <w:rPr>
          <w:rFonts w:asciiTheme="majorHAnsi" w:hAnsiTheme="majorHAnsi" w:cstheme="minorHAnsi"/>
        </w:rPr>
        <w:t xml:space="preserve"> measured a unitary construct (staff engagement),</w:t>
      </w:r>
    </w:p>
    <w:p w:rsidR="002068C9" w:rsidRPr="00467C54" w:rsidRDefault="002068C9" w:rsidP="005A0156">
      <w:pPr>
        <w:pStyle w:val="ListParagraph"/>
        <w:numPr>
          <w:ilvl w:val="0"/>
          <w:numId w:val="4"/>
        </w:numPr>
        <w:rPr>
          <w:rFonts w:asciiTheme="majorHAnsi" w:hAnsiTheme="majorHAnsi" w:cstheme="minorHAnsi"/>
        </w:rPr>
      </w:pPr>
      <w:r w:rsidRPr="00467C54">
        <w:rPr>
          <w:rFonts w:asciiTheme="majorHAnsi" w:hAnsiTheme="majorHAnsi" w:cstheme="minorHAnsi"/>
        </w:rPr>
        <w:t xml:space="preserve">to </w:t>
      </w:r>
      <w:r w:rsidR="001F25C4" w:rsidRPr="00467C54">
        <w:rPr>
          <w:rFonts w:asciiTheme="majorHAnsi" w:hAnsiTheme="majorHAnsi" w:cstheme="minorHAnsi"/>
        </w:rPr>
        <w:t xml:space="preserve">identify and </w:t>
      </w:r>
      <w:r w:rsidRPr="00467C54">
        <w:rPr>
          <w:rFonts w:asciiTheme="majorHAnsi" w:hAnsiTheme="majorHAnsi" w:cstheme="minorHAnsi"/>
        </w:rPr>
        <w:t>explain any factor structure underpinning the data</w:t>
      </w:r>
      <w:r w:rsidR="001B0018" w:rsidRPr="00467C54">
        <w:rPr>
          <w:rFonts w:asciiTheme="majorHAnsi" w:hAnsiTheme="majorHAnsi" w:cstheme="minorHAnsi"/>
        </w:rPr>
        <w:t>,</w:t>
      </w:r>
    </w:p>
    <w:p w:rsidR="002068C9" w:rsidRPr="00467C54" w:rsidRDefault="00173375" w:rsidP="005A0156">
      <w:pPr>
        <w:pStyle w:val="ListParagraph"/>
        <w:numPr>
          <w:ilvl w:val="0"/>
          <w:numId w:val="4"/>
        </w:numPr>
        <w:rPr>
          <w:rFonts w:asciiTheme="majorHAnsi" w:hAnsiTheme="majorHAnsi" w:cstheme="minorHAnsi"/>
        </w:rPr>
      </w:pPr>
      <w:r w:rsidRPr="00467C54">
        <w:rPr>
          <w:rFonts w:asciiTheme="majorHAnsi" w:hAnsiTheme="majorHAnsi" w:cstheme="minorHAnsi"/>
        </w:rPr>
        <w:t xml:space="preserve">to establish </w:t>
      </w:r>
      <w:r w:rsidR="002068C9" w:rsidRPr="00467C54">
        <w:rPr>
          <w:rFonts w:asciiTheme="majorHAnsi" w:hAnsiTheme="majorHAnsi" w:cstheme="minorHAnsi"/>
        </w:rPr>
        <w:t>individual</w:t>
      </w:r>
      <w:r w:rsidRPr="00467C54">
        <w:rPr>
          <w:rFonts w:asciiTheme="majorHAnsi" w:hAnsiTheme="majorHAnsi" w:cstheme="minorHAnsi"/>
        </w:rPr>
        <w:t xml:space="preserve"> item ‘difficulty’ in order to identify the relative importance of the items,</w:t>
      </w:r>
    </w:p>
    <w:p w:rsidR="005E5BC2" w:rsidRPr="00467C54" w:rsidRDefault="00173375" w:rsidP="005A0156">
      <w:pPr>
        <w:pStyle w:val="ListParagraph"/>
        <w:numPr>
          <w:ilvl w:val="0"/>
          <w:numId w:val="4"/>
        </w:numPr>
        <w:rPr>
          <w:rFonts w:asciiTheme="majorHAnsi" w:hAnsiTheme="majorHAnsi" w:cstheme="minorHAnsi"/>
        </w:rPr>
      </w:pPr>
      <w:r w:rsidRPr="00467C54">
        <w:rPr>
          <w:rFonts w:asciiTheme="majorHAnsi" w:hAnsiTheme="majorHAnsi" w:cstheme="minorHAnsi"/>
        </w:rPr>
        <w:t>to identify where items</w:t>
      </w:r>
      <w:r w:rsidR="00B83190" w:rsidRPr="00467C54">
        <w:rPr>
          <w:rFonts w:asciiTheme="majorHAnsi" w:hAnsiTheme="majorHAnsi" w:cstheme="minorHAnsi"/>
        </w:rPr>
        <w:t xml:space="preserve"> and/or respondents</w:t>
      </w:r>
      <w:r w:rsidRPr="00467C54">
        <w:rPr>
          <w:rFonts w:asciiTheme="majorHAnsi" w:hAnsiTheme="majorHAnsi" w:cstheme="minorHAnsi"/>
        </w:rPr>
        <w:t xml:space="preserve"> did not fit with the overall model</w:t>
      </w:r>
      <w:r w:rsidR="005E5BC2" w:rsidRPr="00467C54">
        <w:rPr>
          <w:rFonts w:asciiTheme="majorHAnsi" w:hAnsiTheme="majorHAnsi" w:cstheme="minorHAnsi"/>
        </w:rPr>
        <w:t>,</w:t>
      </w:r>
    </w:p>
    <w:p w:rsidR="005113EE" w:rsidRPr="00467C54" w:rsidRDefault="005E5BC2" w:rsidP="005A0156">
      <w:pPr>
        <w:pStyle w:val="ListParagraph"/>
        <w:numPr>
          <w:ilvl w:val="0"/>
          <w:numId w:val="4"/>
        </w:numPr>
        <w:rPr>
          <w:rFonts w:asciiTheme="majorHAnsi" w:hAnsiTheme="majorHAnsi" w:cstheme="minorHAnsi"/>
        </w:rPr>
      </w:pPr>
      <w:r w:rsidRPr="00467C54">
        <w:rPr>
          <w:rFonts w:asciiTheme="majorHAnsi" w:hAnsiTheme="majorHAnsi" w:cstheme="minorHAnsi"/>
        </w:rPr>
        <w:t xml:space="preserve">to </w:t>
      </w:r>
      <w:r w:rsidR="005113EE" w:rsidRPr="00467C54">
        <w:rPr>
          <w:rFonts w:asciiTheme="majorHAnsi" w:hAnsiTheme="majorHAnsi" w:cstheme="minorHAnsi"/>
        </w:rPr>
        <w:t xml:space="preserve">perform a close analysis on all individual </w:t>
      </w:r>
      <w:r w:rsidR="001A15C1" w:rsidRPr="00467C54">
        <w:rPr>
          <w:rFonts w:asciiTheme="majorHAnsi" w:hAnsiTheme="majorHAnsi" w:cstheme="minorHAnsi"/>
        </w:rPr>
        <w:t>items within the questionnaire.</w:t>
      </w:r>
    </w:p>
    <w:p w:rsidR="002068C9" w:rsidRPr="00467C54" w:rsidRDefault="002068C9" w:rsidP="005A0156">
      <w:pPr>
        <w:rPr>
          <w:rFonts w:asciiTheme="majorHAnsi" w:hAnsiTheme="majorHAnsi" w:cstheme="minorHAnsi"/>
        </w:rPr>
      </w:pPr>
    </w:p>
    <w:p w:rsidR="00667BA4" w:rsidRPr="00467C54" w:rsidRDefault="002068C9" w:rsidP="005A0156">
      <w:pPr>
        <w:rPr>
          <w:rFonts w:asciiTheme="majorHAnsi" w:eastAsia="Times New Roman" w:hAnsiTheme="majorHAnsi"/>
        </w:rPr>
        <w:sectPr w:rsidR="00667BA4" w:rsidRPr="00467C54" w:rsidSect="00826013">
          <w:pgSz w:w="11906" w:h="16838"/>
          <w:pgMar w:top="1440" w:right="1440" w:bottom="1440" w:left="1440" w:header="708" w:footer="708" w:gutter="0"/>
          <w:cols w:space="708"/>
          <w:docGrid w:linePitch="360"/>
        </w:sectPr>
      </w:pPr>
      <w:r w:rsidRPr="00467C54">
        <w:rPr>
          <w:rFonts w:asciiTheme="majorHAnsi" w:hAnsiTheme="majorHAnsi" w:cstheme="minorHAnsi"/>
        </w:rPr>
        <w:t xml:space="preserve">From these analyses </w:t>
      </w:r>
      <w:r w:rsidR="00A24C10" w:rsidRPr="00467C54">
        <w:rPr>
          <w:rFonts w:asciiTheme="majorHAnsi" w:hAnsiTheme="majorHAnsi" w:cstheme="minorHAnsi"/>
        </w:rPr>
        <w:t xml:space="preserve">we </w:t>
      </w:r>
      <w:r w:rsidR="00FE4BC1" w:rsidRPr="00467C54">
        <w:rPr>
          <w:rFonts w:asciiTheme="majorHAnsi" w:hAnsiTheme="majorHAnsi" w:cstheme="minorHAnsi"/>
        </w:rPr>
        <w:t xml:space="preserve">can make a judgement on the validity of the </w:t>
      </w:r>
      <w:r w:rsidR="001B0018" w:rsidRPr="00467C54">
        <w:rPr>
          <w:rFonts w:asciiTheme="majorHAnsi" w:hAnsiTheme="majorHAnsi" w:cstheme="minorHAnsi"/>
        </w:rPr>
        <w:t>NHSEEI</w:t>
      </w:r>
      <w:r w:rsidR="00FE4BC1" w:rsidRPr="00467C54">
        <w:rPr>
          <w:rFonts w:asciiTheme="majorHAnsi" w:hAnsiTheme="majorHAnsi" w:cstheme="minorHAnsi"/>
        </w:rPr>
        <w:t xml:space="preserve"> in this sample.</w:t>
      </w:r>
    </w:p>
    <w:p w:rsidR="00667BA4" w:rsidRPr="00467C54" w:rsidRDefault="002068C9" w:rsidP="005A0156">
      <w:pPr>
        <w:pStyle w:val="Heading2"/>
      </w:pPr>
      <w:bookmarkStart w:id="10" w:name="_Toc351201879"/>
      <w:r w:rsidRPr="00467C54">
        <w:t>Results</w:t>
      </w:r>
      <w:bookmarkEnd w:id="10"/>
    </w:p>
    <w:p w:rsidR="00BA1189" w:rsidRPr="00467C54" w:rsidRDefault="00BA1189" w:rsidP="005A0156">
      <w:pPr>
        <w:pStyle w:val="Heading3"/>
      </w:pPr>
      <w:bookmarkStart w:id="11" w:name="_Toc351201880"/>
      <w:r w:rsidRPr="00467C54">
        <w:t>Descriptives</w:t>
      </w:r>
      <w:r w:rsidR="001F1D2E" w:rsidRPr="00467C54">
        <w:t>: participants</w:t>
      </w:r>
      <w:bookmarkEnd w:id="11"/>
    </w:p>
    <w:p w:rsidR="006C49A4" w:rsidRPr="00467C54" w:rsidRDefault="00C0776E" w:rsidP="005A0156">
      <w:pPr>
        <w:rPr>
          <w:rFonts w:asciiTheme="majorHAnsi" w:hAnsiTheme="majorHAnsi" w:cstheme="minorHAnsi"/>
        </w:rPr>
      </w:pPr>
      <w:r w:rsidRPr="00467C54">
        <w:rPr>
          <w:rFonts w:asciiTheme="majorHAnsi" w:hAnsiTheme="majorHAnsi" w:cstheme="minorHAnsi"/>
        </w:rPr>
        <w:t>1280</w:t>
      </w:r>
      <w:r w:rsidR="00CA2260" w:rsidRPr="00467C54">
        <w:rPr>
          <w:rFonts w:asciiTheme="majorHAnsi" w:hAnsiTheme="majorHAnsi" w:cstheme="minorHAnsi"/>
        </w:rPr>
        <w:t xml:space="preserve"> people </w:t>
      </w:r>
      <w:r w:rsidR="007B0B01" w:rsidRPr="00467C54">
        <w:rPr>
          <w:rFonts w:asciiTheme="majorHAnsi" w:hAnsiTheme="majorHAnsi" w:cstheme="minorHAnsi"/>
        </w:rPr>
        <w:t>completed</w:t>
      </w:r>
      <w:r w:rsidR="00CA2260" w:rsidRPr="00467C54">
        <w:rPr>
          <w:rFonts w:asciiTheme="majorHAnsi" w:hAnsiTheme="majorHAnsi" w:cstheme="minorHAnsi"/>
        </w:rPr>
        <w:t xml:space="preserve"> the questionnaire</w:t>
      </w:r>
      <w:r w:rsidR="006C49A4" w:rsidRPr="00467C54">
        <w:rPr>
          <w:rFonts w:asciiTheme="majorHAnsi" w:hAnsiTheme="majorHAnsi" w:cstheme="minorHAnsi"/>
        </w:rPr>
        <w:t xml:space="preserve"> in total, an excellent</w:t>
      </w:r>
      <w:r w:rsidR="00EA18DD" w:rsidRPr="00467C54">
        <w:rPr>
          <w:rFonts w:asciiTheme="majorHAnsi" w:hAnsiTheme="majorHAnsi" w:cstheme="minorHAnsi"/>
        </w:rPr>
        <w:t xml:space="preserve"> return of over 56</w:t>
      </w:r>
      <w:r w:rsidR="001A15C1" w:rsidRPr="00467C54">
        <w:rPr>
          <w:rFonts w:asciiTheme="majorHAnsi" w:hAnsiTheme="majorHAnsi" w:cstheme="minorHAnsi"/>
        </w:rPr>
        <w:t xml:space="preserve">% those staff targeted, and </w:t>
      </w:r>
      <w:r w:rsidR="00EA18DD" w:rsidRPr="00467C54">
        <w:rPr>
          <w:rFonts w:asciiTheme="majorHAnsi" w:hAnsiTheme="majorHAnsi" w:cstheme="minorHAnsi"/>
        </w:rPr>
        <w:t>more than double</w:t>
      </w:r>
      <w:r w:rsidR="001A15C1" w:rsidRPr="00467C54">
        <w:rPr>
          <w:rFonts w:asciiTheme="majorHAnsi" w:hAnsiTheme="majorHAnsi" w:cstheme="minorHAnsi"/>
        </w:rPr>
        <w:t xml:space="preserve"> the </w:t>
      </w:r>
      <w:r w:rsidR="00286C52" w:rsidRPr="00467C54">
        <w:rPr>
          <w:rFonts w:asciiTheme="majorHAnsi" w:hAnsiTheme="majorHAnsi" w:cstheme="minorHAnsi"/>
        </w:rPr>
        <w:t>27%</w:t>
      </w:r>
      <w:r w:rsidR="00EA18DD" w:rsidRPr="00467C54">
        <w:rPr>
          <w:rStyle w:val="FootnoteReference"/>
          <w:rFonts w:asciiTheme="majorHAnsi" w:hAnsiTheme="majorHAnsi" w:cstheme="minorHAnsi"/>
          <w:vertAlign w:val="baseline"/>
        </w:rPr>
        <w:footnoteReference w:customMarkFollows="1" w:id="2"/>
        <w:sym w:font="Symbol" w:char="F02A"/>
      </w:r>
      <w:r w:rsidR="00286C52" w:rsidRPr="00467C54">
        <w:rPr>
          <w:rFonts w:asciiTheme="majorHAnsi" w:hAnsiTheme="majorHAnsi" w:cstheme="minorHAnsi"/>
        </w:rPr>
        <w:t xml:space="preserve"> </w:t>
      </w:r>
      <w:r w:rsidR="001A15C1" w:rsidRPr="00467C54">
        <w:rPr>
          <w:rFonts w:asciiTheme="majorHAnsi" w:hAnsiTheme="majorHAnsi" w:cstheme="minorHAnsi"/>
        </w:rPr>
        <w:t xml:space="preserve">return of the </w:t>
      </w:r>
      <w:r w:rsidR="00286C52" w:rsidRPr="00467C54">
        <w:rPr>
          <w:rFonts w:asciiTheme="majorHAnsi" w:hAnsiTheme="majorHAnsi" w:cstheme="minorHAnsi"/>
        </w:rPr>
        <w:t xml:space="preserve">2010 </w:t>
      </w:r>
      <w:r w:rsidR="001A15C1" w:rsidRPr="00467C54">
        <w:rPr>
          <w:rFonts w:asciiTheme="majorHAnsi" w:hAnsiTheme="majorHAnsi" w:cstheme="minorHAnsi"/>
        </w:rPr>
        <w:t xml:space="preserve">staff survey </w:t>
      </w:r>
      <w:r w:rsidR="006F6711" w:rsidRPr="00467C54">
        <w:rPr>
          <w:rFonts w:asciiTheme="majorHAnsi" w:hAnsiTheme="majorHAnsi"/>
        </w:rPr>
        <w:fldChar w:fldCharType="begin" w:fldLock="1"/>
      </w:r>
      <w:r w:rsidR="00EB25FC" w:rsidRPr="00467C54">
        <w:rPr>
          <w:rFonts w:asciiTheme="majorHAnsi" w:hAnsiTheme="majorHAnsi"/>
        </w:rPr>
        <w:instrText>ADDIN CSL_CITATION { "citationItems" : [ { "id" : "ITEM-1", "itemData" : { "author" : [ { "family" : "Bacon", "given" : "N." }, { "family" : "Hoque, K.", "given" : "" } ], "id" : "ITEM-1", "issued" : { "date-parts" : [ [ "2011" ] ] }, "title" : "NHS Scotland Staff Survey 2010 Highlights report", "type" : "article" }, "uris" : [ "http://www.mendeley.com/documents/?uuid=fe5dc05f-8a76-4617-aa0f-d5b93d93991c" ] } ], "mendeley" : { "previouslyFormattedCitation" : "&lt;sup&gt;12&lt;/sup&gt;" }, "properties" : { "noteIndex" : 0 }, "schema" : "https://github.com/citation-style-language/schema/raw/master/csl-citation.json" }</w:instrText>
      </w:r>
      <w:r w:rsidR="006F6711" w:rsidRPr="00467C54">
        <w:rPr>
          <w:rFonts w:asciiTheme="majorHAnsi" w:hAnsiTheme="majorHAnsi"/>
        </w:rPr>
        <w:fldChar w:fldCharType="separate"/>
      </w:r>
      <w:r w:rsidR="00EB25FC" w:rsidRPr="00467C54">
        <w:rPr>
          <w:rFonts w:asciiTheme="majorHAnsi" w:hAnsiTheme="majorHAnsi"/>
          <w:noProof/>
          <w:vertAlign w:val="superscript"/>
        </w:rPr>
        <w:t>12</w:t>
      </w:r>
      <w:r w:rsidR="006F6711" w:rsidRPr="00467C54">
        <w:rPr>
          <w:rFonts w:asciiTheme="majorHAnsi" w:hAnsiTheme="majorHAnsi"/>
        </w:rPr>
        <w:fldChar w:fldCharType="end"/>
      </w:r>
      <w:r w:rsidR="00EA18DD" w:rsidRPr="00467C54">
        <w:rPr>
          <w:rFonts w:asciiTheme="majorHAnsi" w:hAnsiTheme="majorHAnsi" w:cstheme="minorHAnsi"/>
          <w:vertAlign w:val="superscript"/>
        </w:rPr>
        <w:t>,</w:t>
      </w:r>
      <w:r w:rsidR="006F6711" w:rsidRPr="00467C54">
        <w:rPr>
          <w:rFonts w:asciiTheme="majorHAnsi" w:hAnsiTheme="majorHAnsi" w:cstheme="minorHAnsi"/>
          <w:vertAlign w:val="superscript"/>
        </w:rPr>
        <w:fldChar w:fldCharType="begin" w:fldLock="1"/>
      </w:r>
      <w:r w:rsidR="00EB25FC" w:rsidRPr="00467C54">
        <w:rPr>
          <w:rFonts w:asciiTheme="majorHAnsi" w:hAnsiTheme="majorHAnsi" w:cstheme="minorHAnsi"/>
          <w:vertAlign w:val="superscript"/>
        </w:rPr>
        <w:instrText>ADDIN CSL_CITATION { "citationItems" : [ { "id" : "ITEM-1", "itemData" : { "author" : [ { "family" : "Information Services Division", "given" : "" } ], "id" : "ITEM-1", "issue" : "May", "issued" : { "date-parts" : [ [ "2012" ] ] }, "title" : "NHS Scotland Workforce", "type" : "webpage", "volume" : "6" }, "uris" : [ "http://www.mendeley.com/documents/?uuid=04afeac7-010b-42d8-8d91-3c4f7f537e4a", "http://www.mendeley.com/documents/?uuid=733315db-c1c9-46c4-90a9-b9cc8cca2d5d" ] } ], "mendeley" : { "previouslyFormattedCitation" : "&lt;sup&gt;13&lt;/sup&gt;" }, "properties" : { "noteIndex" : 0 }, "schema" : "https://github.com/citation-style-language/schema/raw/master/csl-citation.json" }</w:instrText>
      </w:r>
      <w:r w:rsidR="006F6711" w:rsidRPr="00467C54">
        <w:rPr>
          <w:rFonts w:asciiTheme="majorHAnsi" w:hAnsiTheme="majorHAnsi" w:cstheme="minorHAnsi"/>
          <w:vertAlign w:val="superscript"/>
        </w:rPr>
        <w:fldChar w:fldCharType="separate"/>
      </w:r>
      <w:r w:rsidR="00EB25FC" w:rsidRPr="00467C54">
        <w:rPr>
          <w:rFonts w:asciiTheme="majorHAnsi" w:hAnsiTheme="majorHAnsi" w:cstheme="minorHAnsi"/>
          <w:noProof/>
          <w:vertAlign w:val="superscript"/>
        </w:rPr>
        <w:t>13</w:t>
      </w:r>
      <w:r w:rsidR="006F6711" w:rsidRPr="00467C54">
        <w:rPr>
          <w:rFonts w:asciiTheme="majorHAnsi" w:hAnsiTheme="majorHAnsi" w:cstheme="minorHAnsi"/>
          <w:vertAlign w:val="superscript"/>
        </w:rPr>
        <w:fldChar w:fldCharType="end"/>
      </w:r>
      <w:r w:rsidR="00D57D28" w:rsidRPr="00467C54">
        <w:rPr>
          <w:rFonts w:asciiTheme="majorHAnsi" w:hAnsiTheme="majorHAnsi" w:cstheme="minorHAnsi"/>
        </w:rPr>
        <w:t xml:space="preserve">. If this </w:t>
      </w:r>
      <w:r w:rsidR="00286C52" w:rsidRPr="00467C54">
        <w:rPr>
          <w:rFonts w:asciiTheme="majorHAnsi" w:hAnsiTheme="majorHAnsi" w:cstheme="minorHAnsi"/>
        </w:rPr>
        <w:t xml:space="preserve">return </w:t>
      </w:r>
      <w:r w:rsidR="00D57D28" w:rsidRPr="00467C54">
        <w:rPr>
          <w:rFonts w:asciiTheme="majorHAnsi" w:hAnsiTheme="majorHAnsi" w:cstheme="minorHAnsi"/>
        </w:rPr>
        <w:t xml:space="preserve">could be repeated nationally </w:t>
      </w:r>
      <w:r w:rsidR="00286C52" w:rsidRPr="00467C54">
        <w:rPr>
          <w:rFonts w:asciiTheme="majorHAnsi" w:hAnsiTheme="majorHAnsi" w:cstheme="minorHAnsi"/>
        </w:rPr>
        <w:t xml:space="preserve">it </w:t>
      </w:r>
      <w:r w:rsidR="00D57D28" w:rsidRPr="00467C54">
        <w:rPr>
          <w:rFonts w:asciiTheme="majorHAnsi" w:hAnsiTheme="majorHAnsi" w:cstheme="minorHAnsi"/>
        </w:rPr>
        <w:t>would be a significant achievement in itself and considerably raise the credibility of the findings. Whilst all the sample areas deserve praise particular mention should go to Anne Benton and Forth Valley with a final return of 60%. The impact of this on the quality of the inferences we can make as a result is considerable.</w:t>
      </w:r>
      <w:r w:rsidR="00090755" w:rsidRPr="00467C54">
        <w:rPr>
          <w:rFonts w:asciiTheme="majorHAnsi" w:hAnsiTheme="majorHAnsi" w:cstheme="minorHAnsi"/>
        </w:rPr>
        <w:t xml:space="preserve"> For example b</w:t>
      </w:r>
      <w:r w:rsidRPr="00467C54">
        <w:rPr>
          <w:rFonts w:asciiTheme="majorHAnsi" w:hAnsiTheme="majorHAnsi" w:cstheme="minorHAnsi"/>
        </w:rPr>
        <w:t>ecause of the large sample we could be robust in our treatment of missing data. In order to get the most coherent analysis we removed those responses where the questionnaire had only been partially completed or not completed at al</w:t>
      </w:r>
      <w:r w:rsidR="006C49A4" w:rsidRPr="00467C54">
        <w:rPr>
          <w:rFonts w:asciiTheme="majorHAnsi" w:hAnsiTheme="majorHAnsi" w:cstheme="minorHAnsi"/>
        </w:rPr>
        <w:t xml:space="preserve">l. This left us a sample of 1193. The breakdown of this sample by profession is below in figure </w:t>
      </w:r>
      <w:r w:rsidR="001F60CA" w:rsidRPr="00467C54">
        <w:rPr>
          <w:rFonts w:asciiTheme="majorHAnsi" w:hAnsiTheme="majorHAnsi" w:cstheme="minorHAnsi"/>
        </w:rPr>
        <w:t>2</w:t>
      </w:r>
      <w:r w:rsidR="006C49A4" w:rsidRPr="00467C54">
        <w:rPr>
          <w:rFonts w:asciiTheme="majorHAnsi" w:hAnsiTheme="majorHAnsi" w:cstheme="minorHAnsi"/>
        </w:rPr>
        <w:t>.</w:t>
      </w:r>
    </w:p>
    <w:p w:rsidR="00090755" w:rsidRPr="00467C54" w:rsidRDefault="00090755" w:rsidP="005A0156">
      <w:pPr>
        <w:rPr>
          <w:rFonts w:asciiTheme="majorHAnsi" w:hAnsiTheme="majorHAnsi" w:cstheme="minorHAnsi"/>
        </w:rPr>
      </w:pPr>
    </w:p>
    <w:p w:rsidR="00D57D28" w:rsidRPr="00467C54" w:rsidRDefault="00BE21E3" w:rsidP="005A0156">
      <w:pPr>
        <w:rPr>
          <w:rFonts w:asciiTheme="majorHAnsi" w:hAnsiTheme="majorHAnsi" w:cstheme="minorHAnsi"/>
        </w:rPr>
      </w:pPr>
      <w:r w:rsidRPr="00467C54">
        <w:rPr>
          <w:rFonts w:asciiTheme="majorHAnsi" w:hAnsiTheme="majorHAnsi" w:cstheme="minorHAnsi"/>
          <w:noProof/>
          <w:lang w:eastAsia="en-GB"/>
        </w:rPr>
        <w:drawing>
          <wp:inline distT="0" distB="0" distL="0" distR="0">
            <wp:extent cx="5742940" cy="3360420"/>
            <wp:effectExtent l="19050" t="0" r="10160" b="0"/>
            <wp:docPr id="125"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49A4" w:rsidRPr="00467C54" w:rsidRDefault="006C49A4" w:rsidP="005A0156">
      <w:pPr>
        <w:pStyle w:val="Heading5"/>
      </w:pPr>
      <w:bookmarkStart w:id="12" w:name="_Toc349398123"/>
      <w:bookmarkStart w:id="13" w:name="_Toc349398195"/>
      <w:bookmarkStart w:id="14" w:name="_Toc351020502"/>
      <w:r w:rsidRPr="00467C54">
        <w:t xml:space="preserve">Figure </w:t>
      </w:r>
      <w:r w:rsidR="001F60CA" w:rsidRPr="00467C54">
        <w:t>2. Sample by p</w:t>
      </w:r>
      <w:r w:rsidRPr="00467C54">
        <w:t>rofession</w:t>
      </w:r>
      <w:bookmarkEnd w:id="12"/>
      <w:bookmarkEnd w:id="13"/>
      <w:bookmarkEnd w:id="14"/>
    </w:p>
    <w:p w:rsidR="00D57D28" w:rsidRPr="00467C54" w:rsidRDefault="00D57D28" w:rsidP="005A0156">
      <w:pPr>
        <w:rPr>
          <w:rFonts w:asciiTheme="majorHAnsi" w:hAnsiTheme="majorHAnsi" w:cstheme="minorHAnsi"/>
        </w:rPr>
      </w:pPr>
    </w:p>
    <w:p w:rsidR="00CA2260" w:rsidRPr="00467C54" w:rsidRDefault="0031139A" w:rsidP="005A0156">
      <w:pPr>
        <w:rPr>
          <w:rFonts w:asciiTheme="majorHAnsi" w:hAnsiTheme="majorHAnsi" w:cstheme="minorHAnsi"/>
        </w:rPr>
      </w:pPr>
      <w:r w:rsidRPr="00467C54">
        <w:rPr>
          <w:rFonts w:asciiTheme="majorHAnsi" w:hAnsiTheme="majorHAnsi" w:cstheme="minorHAnsi"/>
        </w:rPr>
        <w:t>T</w:t>
      </w:r>
      <w:r w:rsidR="00775FFE" w:rsidRPr="00467C54">
        <w:rPr>
          <w:rFonts w:asciiTheme="majorHAnsi" w:hAnsiTheme="majorHAnsi" w:cstheme="minorHAnsi"/>
        </w:rPr>
        <w:t xml:space="preserve">he breakdown </w:t>
      </w:r>
      <w:r w:rsidR="00B373B0" w:rsidRPr="00467C54">
        <w:rPr>
          <w:rFonts w:asciiTheme="majorHAnsi" w:hAnsiTheme="majorHAnsi" w:cstheme="minorHAnsi"/>
        </w:rPr>
        <w:t xml:space="preserve">of the total sample </w:t>
      </w:r>
      <w:r w:rsidR="00775FFE" w:rsidRPr="00467C54">
        <w:rPr>
          <w:rFonts w:asciiTheme="majorHAnsi" w:hAnsiTheme="majorHAnsi" w:cstheme="minorHAnsi"/>
        </w:rPr>
        <w:t>is comparable with NHSScotland staff breakdown nationally</w:t>
      </w:r>
      <w:r w:rsidR="00B8722A" w:rsidRPr="00467C54">
        <w:rPr>
          <w:rFonts w:asciiTheme="majorHAnsi" w:hAnsiTheme="majorHAnsi" w:cstheme="minorHAnsi"/>
        </w:rPr>
        <w:t xml:space="preserve"> (</w:t>
      </w:r>
      <w:r w:rsidR="00B8722A" w:rsidRPr="00467C54">
        <w:rPr>
          <w:rFonts w:asciiTheme="majorHAnsi" w:hAnsiTheme="majorHAnsi" w:cstheme="minorHAnsi"/>
          <w:i/>
        </w:rPr>
        <w:t xml:space="preserve">Figure </w:t>
      </w:r>
      <w:r w:rsidR="001F60CA" w:rsidRPr="00467C54">
        <w:rPr>
          <w:rFonts w:asciiTheme="majorHAnsi" w:hAnsiTheme="majorHAnsi" w:cstheme="minorHAnsi"/>
          <w:i/>
        </w:rPr>
        <w:t>3</w:t>
      </w:r>
      <w:r w:rsidR="00B8722A" w:rsidRPr="00467C54">
        <w:rPr>
          <w:rFonts w:asciiTheme="majorHAnsi" w:hAnsiTheme="majorHAnsi" w:cstheme="minorHAnsi"/>
        </w:rPr>
        <w:t>)</w:t>
      </w:r>
      <w:r w:rsidR="00775FFE" w:rsidRPr="00467C54">
        <w:rPr>
          <w:rFonts w:asciiTheme="majorHAnsi" w:hAnsiTheme="majorHAnsi" w:cstheme="minorHAnsi"/>
        </w:rPr>
        <w:t>.</w:t>
      </w:r>
      <w:r w:rsidR="00705294" w:rsidRPr="00467C54">
        <w:rPr>
          <w:rFonts w:asciiTheme="majorHAnsi" w:hAnsiTheme="majorHAnsi" w:cstheme="minorHAnsi"/>
        </w:rPr>
        <w:t xml:space="preserve"> Although ISD do not collate figures on managerial and corporate staff their ratio of </w:t>
      </w:r>
      <w:r w:rsidR="00B373B0" w:rsidRPr="00467C54">
        <w:rPr>
          <w:rFonts w:asciiTheme="majorHAnsi" w:hAnsiTheme="majorHAnsi" w:cstheme="minorHAnsi"/>
        </w:rPr>
        <w:t xml:space="preserve">admin, </w:t>
      </w:r>
      <w:r w:rsidR="00705294" w:rsidRPr="00467C54">
        <w:rPr>
          <w:rFonts w:asciiTheme="majorHAnsi" w:hAnsiTheme="majorHAnsi" w:cstheme="minorHAnsi"/>
        </w:rPr>
        <w:t xml:space="preserve">medical, nursing and AHP staff in 2012 </w:t>
      </w:r>
      <w:r w:rsidR="00597F25" w:rsidRPr="00467C54">
        <w:rPr>
          <w:rFonts w:asciiTheme="majorHAnsi" w:hAnsiTheme="majorHAnsi" w:cstheme="minorHAnsi"/>
        </w:rPr>
        <w:t>is comparable</w:t>
      </w:r>
      <w:r w:rsidR="00705294" w:rsidRPr="00467C54">
        <w:rPr>
          <w:rFonts w:asciiTheme="majorHAnsi" w:hAnsiTheme="majorHAnsi" w:cstheme="minorHAnsi"/>
        </w:rPr>
        <w:t xml:space="preserve"> this sample</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"URL" : "http://www.isdscotland.org/Health-Topics/Workforce/Publications/2012-05-29/2012-05-29-Workforce-Summary.pdf?64616030455", "author" : [ { "family" : "Information Services Division", "given" : "" } ], "id" : "ITEM-1", "issue" : "May", "issued" : { "date-parts" : [ [ "2012" ] ] }, "title" : "NHS Scotland Workforce", "type" : "webpage", "volume" : "6" }, "uris" : [ "http://www.mendeley.com/documents/?uuid=733315db-c1c9-46c4-90a9-b9cc8cca2d5d", "http://www.mendeley.com/documents/?uuid=04afeac7-010b-42d8-8d91-3c4f7f537e4a" ] } ], "mendeley" : { "previouslyFormattedCitation" : "&lt;sup&gt;14&lt;/sup&gt;"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14</w:t>
      </w:r>
      <w:r w:rsidR="006F6711" w:rsidRPr="00467C54">
        <w:rPr>
          <w:rFonts w:asciiTheme="majorHAnsi" w:hAnsiTheme="majorHAnsi" w:cstheme="minorHAnsi"/>
        </w:rPr>
        <w:fldChar w:fldCharType="end"/>
      </w:r>
      <w:r w:rsidR="00B373B0" w:rsidRPr="00467C54">
        <w:rPr>
          <w:rFonts w:asciiTheme="majorHAnsi" w:hAnsiTheme="majorHAnsi" w:cstheme="minorHAnsi"/>
        </w:rPr>
        <w:t>. Along</w:t>
      </w:r>
      <w:r w:rsidR="00B8722A" w:rsidRPr="00467C54">
        <w:rPr>
          <w:rFonts w:asciiTheme="majorHAnsi" w:hAnsiTheme="majorHAnsi" w:cstheme="minorHAnsi"/>
        </w:rPr>
        <w:t>side</w:t>
      </w:r>
      <w:r w:rsidR="00B373B0" w:rsidRPr="00467C54">
        <w:rPr>
          <w:rFonts w:asciiTheme="majorHAnsi" w:hAnsiTheme="majorHAnsi" w:cstheme="minorHAnsi"/>
        </w:rPr>
        <w:t xml:space="preserve"> the </w:t>
      </w:r>
      <w:r w:rsidR="00B8722A" w:rsidRPr="00467C54">
        <w:rPr>
          <w:rFonts w:asciiTheme="majorHAnsi" w:hAnsiTheme="majorHAnsi" w:cstheme="minorHAnsi"/>
        </w:rPr>
        <w:t xml:space="preserve">excellent </w:t>
      </w:r>
      <w:r w:rsidR="00B373B0" w:rsidRPr="00467C54">
        <w:rPr>
          <w:rFonts w:asciiTheme="majorHAnsi" w:hAnsiTheme="majorHAnsi" w:cstheme="minorHAnsi"/>
        </w:rPr>
        <w:t xml:space="preserve">response rate this adds </w:t>
      </w:r>
      <w:r w:rsidR="00B8722A" w:rsidRPr="00467C54">
        <w:rPr>
          <w:rFonts w:asciiTheme="majorHAnsi" w:hAnsiTheme="majorHAnsi" w:cstheme="minorHAnsi"/>
        </w:rPr>
        <w:t xml:space="preserve">further </w:t>
      </w:r>
      <w:r w:rsidR="00B373B0" w:rsidRPr="00467C54">
        <w:rPr>
          <w:rFonts w:asciiTheme="majorHAnsi" w:hAnsiTheme="majorHAnsi" w:cstheme="minorHAnsi"/>
        </w:rPr>
        <w:t xml:space="preserve">credibility to any generalisable claims arising from this </w:t>
      </w:r>
      <w:r w:rsidR="00B8722A" w:rsidRPr="00467C54">
        <w:rPr>
          <w:rFonts w:asciiTheme="majorHAnsi" w:hAnsiTheme="majorHAnsi" w:cstheme="minorHAnsi"/>
        </w:rPr>
        <w:t>analysis</w:t>
      </w:r>
      <w:r w:rsidR="00B373B0" w:rsidRPr="00467C54">
        <w:rPr>
          <w:rFonts w:asciiTheme="majorHAnsi" w:hAnsiTheme="majorHAnsi" w:cstheme="minorHAnsi"/>
        </w:rPr>
        <w:t xml:space="preserve">. </w:t>
      </w:r>
    </w:p>
    <w:p w:rsidR="0089244C" w:rsidRPr="00467C54" w:rsidRDefault="0089244C" w:rsidP="005A0156">
      <w:pPr>
        <w:rPr>
          <w:rFonts w:asciiTheme="majorHAnsi" w:hAnsiTheme="majorHAnsi" w:cstheme="minorHAnsi"/>
        </w:rPr>
      </w:pPr>
    </w:p>
    <w:p w:rsidR="0089244C" w:rsidRPr="00467C54" w:rsidRDefault="0089244C" w:rsidP="005A0156">
      <w:pPr>
        <w:rPr>
          <w:rFonts w:asciiTheme="majorHAnsi" w:hAnsiTheme="majorHAnsi" w:cstheme="minorHAnsi"/>
        </w:rPr>
      </w:pPr>
      <w:r w:rsidRPr="00467C54">
        <w:rPr>
          <w:rFonts w:asciiTheme="majorHAnsi" w:hAnsiTheme="majorHAnsi" w:cstheme="minorHAnsi"/>
          <w:noProof/>
          <w:lang w:eastAsia="en-GB"/>
        </w:rPr>
        <w:drawing>
          <wp:inline distT="0" distB="0" distL="0" distR="0">
            <wp:extent cx="5731510" cy="3581400"/>
            <wp:effectExtent l="19050" t="0" r="21590"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49A4" w:rsidRPr="00467C54" w:rsidRDefault="006C49A4" w:rsidP="005A0156">
      <w:pPr>
        <w:pStyle w:val="Heading5"/>
      </w:pPr>
      <w:bookmarkStart w:id="15" w:name="_Toc349398124"/>
      <w:bookmarkStart w:id="16" w:name="_Toc349398196"/>
      <w:bookmarkStart w:id="17" w:name="_Toc351020503"/>
      <w:r w:rsidRPr="00467C54">
        <w:t>Figure</w:t>
      </w:r>
      <w:r w:rsidR="001F60CA" w:rsidRPr="00467C54">
        <w:t xml:space="preserve"> 3. National NHS</w:t>
      </w:r>
      <w:r w:rsidR="00953A58">
        <w:t xml:space="preserve"> </w:t>
      </w:r>
      <w:r w:rsidR="001F60CA" w:rsidRPr="00467C54">
        <w:t>Scotland staff population</w:t>
      </w:r>
      <w:r w:rsidRPr="00467C54">
        <w:t xml:space="preserve"> breakdown</w:t>
      </w:r>
      <w:bookmarkEnd w:id="15"/>
      <w:bookmarkEnd w:id="16"/>
      <w:bookmarkEnd w:id="17"/>
    </w:p>
    <w:p w:rsidR="006C49A4" w:rsidRPr="00467C54" w:rsidRDefault="006C49A4" w:rsidP="005A0156">
      <w:pPr>
        <w:rPr>
          <w:rFonts w:asciiTheme="majorHAnsi" w:hAnsiTheme="majorHAnsi" w:cstheme="minorHAnsi"/>
        </w:rPr>
      </w:pPr>
    </w:p>
    <w:p w:rsidR="001F1D2E" w:rsidRPr="00467C54" w:rsidRDefault="001F1D2E" w:rsidP="001F1D2E">
      <w:pPr>
        <w:pStyle w:val="Heading3"/>
      </w:pPr>
      <w:bookmarkStart w:id="18" w:name="_Toc351201881"/>
      <w:r w:rsidRPr="00467C54">
        <w:t>Descriptives: responses</w:t>
      </w:r>
      <w:bookmarkEnd w:id="18"/>
    </w:p>
    <w:p w:rsidR="0062633C" w:rsidRPr="00467C54" w:rsidRDefault="0062633C" w:rsidP="005A0156">
      <w:pPr>
        <w:rPr>
          <w:rFonts w:asciiTheme="majorHAnsi" w:hAnsiTheme="majorHAnsi" w:cstheme="minorHAnsi"/>
        </w:rPr>
      </w:pPr>
    </w:p>
    <w:p w:rsidR="0031139A" w:rsidRPr="00467C54" w:rsidRDefault="0031139A" w:rsidP="005A0156">
      <w:pPr>
        <w:rPr>
          <w:rFonts w:asciiTheme="majorHAnsi" w:hAnsiTheme="majorHAnsi" w:cstheme="minorHAnsi"/>
        </w:rPr>
      </w:pPr>
      <w:r w:rsidRPr="00467C54">
        <w:rPr>
          <w:rFonts w:asciiTheme="majorHAnsi" w:hAnsiTheme="majorHAnsi" w:cstheme="minorHAnsi"/>
        </w:rPr>
        <w:t>Response d</w:t>
      </w:r>
      <w:r w:rsidR="008D270E" w:rsidRPr="00467C54">
        <w:rPr>
          <w:rFonts w:asciiTheme="majorHAnsi" w:hAnsiTheme="majorHAnsi" w:cstheme="minorHAnsi"/>
        </w:rPr>
        <w:t xml:space="preserve">ata were imported into IBM SPSS 20. </w:t>
      </w:r>
      <w:r w:rsidRPr="00467C54">
        <w:rPr>
          <w:rFonts w:asciiTheme="majorHAnsi" w:hAnsiTheme="majorHAnsi" w:cstheme="minorHAnsi"/>
        </w:rPr>
        <w:t xml:space="preserve">For descriptive analysis data were coded </w:t>
      </w:r>
      <w:r w:rsidR="0086668A" w:rsidRPr="00467C54">
        <w:rPr>
          <w:rFonts w:asciiTheme="majorHAnsi" w:hAnsiTheme="majorHAnsi" w:cstheme="minorHAnsi"/>
        </w:rPr>
        <w:t>as per box 1</w:t>
      </w:r>
    </w:p>
    <w:tbl>
      <w:tblPr>
        <w:tblStyle w:val="TableGrid"/>
        <w:tblpPr w:leftFromText="180" w:rightFromText="180" w:vertAnchor="page" w:horzAnchor="margin" w:tblpY="948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tblGrid>
      <w:tr w:rsidR="0062633C" w:rsidRPr="00467C54" w:rsidTr="0062633C">
        <w:tc>
          <w:tcPr>
            <w:tcW w:w="4621" w:type="dxa"/>
          </w:tcPr>
          <w:p w:rsidR="0062633C" w:rsidRPr="00467C54" w:rsidRDefault="0062633C" w:rsidP="0062633C">
            <w:pPr>
              <w:rPr>
                <w:rFonts w:asciiTheme="majorHAnsi" w:hAnsiTheme="majorHAnsi" w:cstheme="minorHAnsi"/>
                <w:i/>
              </w:rPr>
            </w:pPr>
            <w:bookmarkStart w:id="19" w:name="_Toc349398125"/>
            <w:bookmarkStart w:id="20" w:name="_Toc349398197"/>
            <w:bookmarkStart w:id="21" w:name="_Toc349399056"/>
            <w:bookmarkStart w:id="22" w:name="_Toc349475853"/>
            <w:bookmarkStart w:id="23" w:name="_Toc351020513"/>
            <w:bookmarkStart w:id="24" w:name="_Toc351130766"/>
            <w:r w:rsidRPr="00467C54">
              <w:rPr>
                <w:rFonts w:asciiTheme="majorHAnsi" w:hAnsiTheme="majorHAnsi" w:cstheme="minorHAnsi"/>
                <w:i/>
              </w:rPr>
              <w:t>All NHSEEI items except 29</w:t>
            </w:r>
          </w:p>
        </w:tc>
      </w:tr>
      <w:tr w:rsidR="0062633C" w:rsidRPr="00467C54" w:rsidTr="0062633C">
        <w:tc>
          <w:tcPr>
            <w:tcW w:w="4621" w:type="dxa"/>
          </w:tcPr>
          <w:p w:rsidR="0062633C" w:rsidRPr="00467C54" w:rsidRDefault="0062633C" w:rsidP="0062633C">
            <w:pPr>
              <w:rPr>
                <w:rFonts w:asciiTheme="majorHAnsi" w:hAnsiTheme="majorHAnsi" w:cstheme="minorHAnsi"/>
              </w:rPr>
            </w:pPr>
            <w:r w:rsidRPr="00467C54">
              <w:rPr>
                <w:rFonts w:asciiTheme="majorHAnsi" w:hAnsiTheme="majorHAnsi" w:cstheme="minorHAnsi"/>
              </w:rPr>
              <w:t>1 = Strongly Disagree</w:t>
            </w:r>
          </w:p>
          <w:p w:rsidR="0062633C" w:rsidRPr="00467C54" w:rsidRDefault="0062633C" w:rsidP="0062633C">
            <w:pPr>
              <w:rPr>
                <w:rFonts w:asciiTheme="majorHAnsi" w:hAnsiTheme="majorHAnsi" w:cstheme="minorHAnsi"/>
              </w:rPr>
            </w:pPr>
            <w:r w:rsidRPr="00467C54">
              <w:rPr>
                <w:rFonts w:asciiTheme="majorHAnsi" w:hAnsiTheme="majorHAnsi" w:cstheme="minorHAnsi"/>
              </w:rPr>
              <w:t>2 = Disagree</w:t>
            </w:r>
          </w:p>
          <w:p w:rsidR="0062633C" w:rsidRPr="00467C54" w:rsidRDefault="0062633C" w:rsidP="0062633C">
            <w:pPr>
              <w:rPr>
                <w:rFonts w:asciiTheme="majorHAnsi" w:hAnsiTheme="majorHAnsi" w:cstheme="minorHAnsi"/>
              </w:rPr>
            </w:pPr>
            <w:r w:rsidRPr="00467C54">
              <w:rPr>
                <w:rFonts w:asciiTheme="majorHAnsi" w:hAnsiTheme="majorHAnsi" w:cstheme="minorHAnsi"/>
              </w:rPr>
              <w:t>3 = Slightly Disagree</w:t>
            </w:r>
          </w:p>
          <w:p w:rsidR="0062633C" w:rsidRPr="00467C54" w:rsidRDefault="0062633C" w:rsidP="0062633C">
            <w:pPr>
              <w:rPr>
                <w:rFonts w:asciiTheme="majorHAnsi" w:hAnsiTheme="majorHAnsi" w:cstheme="minorHAnsi"/>
              </w:rPr>
            </w:pPr>
            <w:r w:rsidRPr="00467C54">
              <w:rPr>
                <w:rFonts w:asciiTheme="majorHAnsi" w:hAnsiTheme="majorHAnsi" w:cstheme="minorHAnsi"/>
              </w:rPr>
              <w:t>4 = Slightly Agree</w:t>
            </w:r>
          </w:p>
          <w:p w:rsidR="0062633C" w:rsidRPr="00467C54" w:rsidRDefault="0062633C" w:rsidP="0062633C">
            <w:pPr>
              <w:rPr>
                <w:rFonts w:asciiTheme="majorHAnsi" w:hAnsiTheme="majorHAnsi" w:cstheme="minorHAnsi"/>
              </w:rPr>
            </w:pPr>
            <w:r w:rsidRPr="00467C54">
              <w:rPr>
                <w:rFonts w:asciiTheme="majorHAnsi" w:hAnsiTheme="majorHAnsi" w:cstheme="minorHAnsi"/>
              </w:rPr>
              <w:t>5 = Agree</w:t>
            </w:r>
          </w:p>
          <w:p w:rsidR="0062633C" w:rsidRPr="00467C54" w:rsidRDefault="0062633C" w:rsidP="0062633C">
            <w:pPr>
              <w:rPr>
                <w:rFonts w:asciiTheme="majorHAnsi" w:hAnsiTheme="majorHAnsi" w:cstheme="minorHAnsi"/>
              </w:rPr>
            </w:pPr>
            <w:r w:rsidRPr="00467C54">
              <w:rPr>
                <w:rFonts w:asciiTheme="majorHAnsi" w:hAnsiTheme="majorHAnsi" w:cstheme="minorHAnsi"/>
              </w:rPr>
              <w:t>6 = Strongly Agree</w:t>
            </w:r>
          </w:p>
        </w:tc>
      </w:tr>
    </w:tbl>
    <w:p w:rsidR="0086668A" w:rsidRPr="00467C54" w:rsidRDefault="0086668A" w:rsidP="005A0156">
      <w:pPr>
        <w:pStyle w:val="Heading4"/>
        <w:rPr>
          <w:lang w:val="en-US"/>
        </w:rPr>
      </w:pPr>
    </w:p>
    <w:p w:rsidR="0086668A" w:rsidRPr="00467C54" w:rsidRDefault="0086668A" w:rsidP="005A0156">
      <w:pPr>
        <w:pStyle w:val="Heading4"/>
        <w:rPr>
          <w:lang w:val="en-US"/>
        </w:rPr>
      </w:pPr>
    </w:p>
    <w:p w:rsidR="0086668A" w:rsidRPr="00467C54" w:rsidRDefault="0086668A" w:rsidP="005A0156">
      <w:pPr>
        <w:pStyle w:val="Heading4"/>
        <w:rPr>
          <w:lang w:val="en-US"/>
        </w:rPr>
      </w:pPr>
    </w:p>
    <w:p w:rsidR="0086668A" w:rsidRPr="00467C54" w:rsidRDefault="0086668A" w:rsidP="005A0156">
      <w:pPr>
        <w:pStyle w:val="Heading4"/>
        <w:rPr>
          <w:lang w:val="en-US"/>
        </w:rPr>
      </w:pPr>
    </w:p>
    <w:p w:rsidR="0062633C" w:rsidRPr="00467C54" w:rsidRDefault="0062633C" w:rsidP="0062633C">
      <w:pPr>
        <w:pStyle w:val="Heading4"/>
        <w:rPr>
          <w:lang w:val="en-US"/>
        </w:rPr>
      </w:pPr>
    </w:p>
    <w:p w:rsidR="0031139A" w:rsidRPr="00467C54" w:rsidRDefault="008D270E" w:rsidP="0062633C">
      <w:pPr>
        <w:pStyle w:val="Heading4"/>
        <w:rPr>
          <w:lang w:val="en-US"/>
        </w:rPr>
      </w:pPr>
      <w:r w:rsidRPr="00467C54">
        <w:rPr>
          <w:lang w:val="en-US"/>
        </w:rPr>
        <w:t>Box</w:t>
      </w:r>
      <w:r w:rsidR="001F60CA" w:rsidRPr="00467C54">
        <w:rPr>
          <w:lang w:val="en-US"/>
        </w:rPr>
        <w:t xml:space="preserve"> 1. I</w:t>
      </w:r>
      <w:r w:rsidRPr="00467C54">
        <w:rPr>
          <w:lang w:val="en-US"/>
        </w:rPr>
        <w:t>tem scoring</w:t>
      </w:r>
      <w:bookmarkEnd w:id="19"/>
      <w:bookmarkEnd w:id="20"/>
      <w:bookmarkEnd w:id="21"/>
      <w:bookmarkEnd w:id="22"/>
      <w:bookmarkEnd w:id="23"/>
      <w:bookmarkEnd w:id="24"/>
    </w:p>
    <w:p w:rsidR="0062633C" w:rsidRPr="00467C54" w:rsidRDefault="0062633C" w:rsidP="00EA0B70">
      <w:pPr>
        <w:rPr>
          <w:rFonts w:asciiTheme="majorHAnsi" w:hAnsiTheme="majorHAnsi" w:cstheme="minorHAnsi"/>
        </w:rPr>
      </w:pPr>
    </w:p>
    <w:p w:rsidR="008B28B4" w:rsidRPr="00467C54" w:rsidRDefault="00775FFE" w:rsidP="00EA0B70">
      <w:pPr>
        <w:rPr>
          <w:rFonts w:asciiTheme="majorHAnsi" w:hAnsiTheme="majorHAnsi" w:cs="Courier New"/>
          <w:i/>
          <w:color w:val="000000"/>
        </w:rPr>
        <w:sectPr w:rsidR="008B28B4" w:rsidRPr="00467C54" w:rsidSect="00CF73C2">
          <w:pgSz w:w="11906" w:h="16838"/>
          <w:pgMar w:top="1440" w:right="1440" w:bottom="1440" w:left="1440" w:header="708" w:footer="708" w:gutter="0"/>
          <w:cols w:space="708"/>
          <w:docGrid w:linePitch="360"/>
        </w:sectPr>
      </w:pPr>
      <w:r w:rsidRPr="00467C54">
        <w:rPr>
          <w:rFonts w:asciiTheme="majorHAnsi" w:hAnsiTheme="majorHAnsi" w:cstheme="minorHAnsi"/>
        </w:rPr>
        <w:t>Summary of all responses per item</w:t>
      </w:r>
      <w:r w:rsidR="00310660" w:rsidRPr="00467C54">
        <w:rPr>
          <w:rFonts w:asciiTheme="majorHAnsi" w:hAnsiTheme="majorHAnsi" w:cstheme="minorHAnsi"/>
        </w:rPr>
        <w:t>,</w:t>
      </w:r>
      <w:r w:rsidRPr="00467C54">
        <w:rPr>
          <w:rFonts w:asciiTheme="majorHAnsi" w:hAnsiTheme="majorHAnsi" w:cstheme="minorHAnsi"/>
        </w:rPr>
        <w:t xml:space="preserve"> ranked by frequency of</w:t>
      </w:r>
      <w:r w:rsidR="00310660" w:rsidRPr="00467C54">
        <w:rPr>
          <w:rFonts w:asciiTheme="majorHAnsi" w:hAnsiTheme="majorHAnsi" w:cstheme="minorHAnsi"/>
        </w:rPr>
        <w:t xml:space="preserve"> response to</w:t>
      </w:r>
      <w:r w:rsidRPr="00467C54">
        <w:rPr>
          <w:rFonts w:asciiTheme="majorHAnsi" w:hAnsiTheme="majorHAnsi" w:cstheme="minorHAnsi"/>
        </w:rPr>
        <w:t xml:space="preserve"> ‘strongly agree</w:t>
      </w:r>
      <w:r w:rsidR="001E3CF5" w:rsidRPr="00467C54">
        <w:rPr>
          <w:rFonts w:asciiTheme="majorHAnsi" w:hAnsiTheme="majorHAnsi" w:cstheme="minorHAnsi"/>
        </w:rPr>
        <w:t xml:space="preserve">’ is in figure 4. </w:t>
      </w:r>
    </w:p>
    <w:p w:rsidR="00F95B7B" w:rsidRPr="00467C54" w:rsidRDefault="001E3CF5" w:rsidP="005A0156">
      <w:pPr>
        <w:widowControl w:val="0"/>
        <w:autoSpaceDE w:val="0"/>
        <w:autoSpaceDN w:val="0"/>
        <w:adjustRightInd w:val="0"/>
        <w:spacing w:after="240"/>
        <w:rPr>
          <w:rStyle w:val="Heading5Char"/>
        </w:rPr>
      </w:pPr>
      <w:r w:rsidRPr="00467C54">
        <w:rPr>
          <w:rStyle w:val="Heading5Char"/>
          <w:noProof/>
          <w:lang w:eastAsia="en-GB"/>
        </w:rPr>
        <w:drawing>
          <wp:inline distT="0" distB="0" distL="0" distR="0">
            <wp:extent cx="9033510" cy="5349240"/>
            <wp:effectExtent l="19050" t="0" r="15240" b="381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61018" w:rsidRPr="00467C54" w:rsidRDefault="00F95B7B" w:rsidP="00B27D48">
      <w:pPr>
        <w:widowControl w:val="0"/>
        <w:autoSpaceDE w:val="0"/>
        <w:autoSpaceDN w:val="0"/>
        <w:adjustRightInd w:val="0"/>
        <w:spacing w:after="240"/>
        <w:jc w:val="center"/>
        <w:rPr>
          <w:rFonts w:asciiTheme="majorHAnsi" w:eastAsiaTheme="majorEastAsia" w:hAnsiTheme="majorHAnsi" w:cstheme="majorBidi"/>
          <w:b/>
          <w:bCs/>
          <w:i/>
          <w:iCs/>
          <w:color w:val="4F81BD" w:themeColor="accent1"/>
        </w:rPr>
      </w:pPr>
      <w:bookmarkStart w:id="25" w:name="_Toc351020504"/>
      <w:r w:rsidRPr="00467C54">
        <w:rPr>
          <w:rStyle w:val="Heading5Char"/>
        </w:rPr>
        <w:t>Figure 4. Summary</w:t>
      </w:r>
      <w:r w:rsidR="0037230C" w:rsidRPr="00467C54">
        <w:rPr>
          <w:rStyle w:val="Heading5Char"/>
        </w:rPr>
        <w:t xml:space="preserve"> frequency</w:t>
      </w:r>
      <w:r w:rsidRPr="00467C54">
        <w:rPr>
          <w:rStyle w:val="Heading5Char"/>
        </w:rPr>
        <w:t xml:space="preserve"> of all responses by Likert Category</w:t>
      </w:r>
      <w:bookmarkEnd w:id="25"/>
    </w:p>
    <w:p w:rsidR="002B44A2" w:rsidRPr="00467C54" w:rsidRDefault="002B44A2" w:rsidP="005A0156">
      <w:pPr>
        <w:rPr>
          <w:rFonts w:asciiTheme="majorHAnsi" w:hAnsiTheme="majorHAnsi" w:cstheme="minorHAnsi"/>
        </w:rPr>
        <w:sectPr w:rsidR="002B44A2" w:rsidRPr="00467C54" w:rsidSect="002B44A2">
          <w:pgSz w:w="16838" w:h="11906" w:orient="landscape"/>
          <w:pgMar w:top="1440" w:right="1440" w:bottom="1440" w:left="1440" w:header="708" w:footer="708" w:gutter="0"/>
          <w:cols w:space="708"/>
          <w:docGrid w:linePitch="360"/>
        </w:sectPr>
      </w:pPr>
    </w:p>
    <w:p w:rsidR="005E571E" w:rsidRPr="00467C54" w:rsidRDefault="005E571E" w:rsidP="005A0156">
      <w:pPr>
        <w:rPr>
          <w:rFonts w:asciiTheme="majorHAnsi" w:hAnsiTheme="majorHAnsi" w:cstheme="minorHAnsi"/>
        </w:rPr>
      </w:pPr>
    </w:p>
    <w:p w:rsidR="00310660" w:rsidRPr="00467C54" w:rsidRDefault="00310660" w:rsidP="005A0156">
      <w:pPr>
        <w:pStyle w:val="Heading3"/>
      </w:pPr>
      <w:bookmarkStart w:id="26" w:name="_Toc351201882"/>
      <w:r w:rsidRPr="00467C54">
        <w:t>The NHS</w:t>
      </w:r>
      <w:r w:rsidR="00F44FEC" w:rsidRPr="00467C54">
        <w:t>Scotland Employee Engagement Index (NHS</w:t>
      </w:r>
      <w:r w:rsidRPr="00467C54">
        <w:t>EEI</w:t>
      </w:r>
      <w:r w:rsidR="00F44FEC" w:rsidRPr="00467C54">
        <w:t>)</w:t>
      </w:r>
      <w:bookmarkEnd w:id="26"/>
    </w:p>
    <w:p w:rsidR="00310660" w:rsidRPr="00467C54" w:rsidRDefault="00310660" w:rsidP="005A0156">
      <w:pPr>
        <w:rPr>
          <w:rFonts w:asciiTheme="majorHAnsi" w:hAnsiTheme="majorHAnsi" w:cstheme="minorHAnsi"/>
        </w:rPr>
      </w:pPr>
    </w:p>
    <w:p w:rsidR="0004197B" w:rsidRPr="00467C54" w:rsidRDefault="0086668A" w:rsidP="005A0156">
      <w:pPr>
        <w:rPr>
          <w:rFonts w:asciiTheme="majorHAnsi" w:hAnsiTheme="majorHAnsi" w:cstheme="minorHAnsi"/>
        </w:rPr>
      </w:pPr>
      <w:r w:rsidRPr="00467C54">
        <w:rPr>
          <w:rFonts w:asciiTheme="majorHAnsi" w:hAnsiTheme="majorHAnsi" w:cstheme="minorHAnsi"/>
        </w:rPr>
        <w:t>I</w:t>
      </w:r>
      <w:r w:rsidR="00310660" w:rsidRPr="00467C54">
        <w:rPr>
          <w:rFonts w:asciiTheme="majorHAnsi" w:hAnsiTheme="majorHAnsi" w:cstheme="minorHAnsi"/>
        </w:rPr>
        <w:t>n order to produce the NHSEEI measure for each individual we added the response scores</w:t>
      </w:r>
      <w:r w:rsidR="00F44FEC" w:rsidRPr="00467C54">
        <w:rPr>
          <w:rFonts w:asciiTheme="majorHAnsi" w:hAnsiTheme="majorHAnsi" w:cstheme="minorHAnsi"/>
        </w:rPr>
        <w:t xml:space="preserve"> for each item using the coding illustrated in box </w:t>
      </w:r>
      <w:r w:rsidRPr="00467C54">
        <w:rPr>
          <w:rFonts w:asciiTheme="majorHAnsi" w:hAnsiTheme="majorHAnsi" w:cstheme="minorHAnsi"/>
        </w:rPr>
        <w:t>2</w:t>
      </w:r>
      <w:r w:rsidR="00D3773F" w:rsidRPr="00467C54">
        <w:rPr>
          <w:rFonts w:asciiTheme="majorHAnsi" w:hAnsiTheme="majorHAnsi" w:cstheme="minorHAnsi"/>
        </w:rPr>
        <w:t xml:space="preserve"> then converted to a percentage</w:t>
      </w:r>
      <w:r w:rsidR="00F44FEC" w:rsidRPr="00467C54">
        <w:rPr>
          <w:rFonts w:asciiTheme="majorHAnsi" w:hAnsiTheme="majorHAnsi" w:cstheme="minorHAnsi"/>
        </w:rPr>
        <w:t xml:space="preserve">. In brief this meant that the NHSEEI consisted of </w:t>
      </w:r>
      <w:r w:rsidR="00D3773F" w:rsidRPr="00467C54">
        <w:rPr>
          <w:rFonts w:asciiTheme="majorHAnsi" w:hAnsiTheme="majorHAnsi" w:cstheme="minorHAnsi"/>
        </w:rPr>
        <w:t xml:space="preserve">a representation of </w:t>
      </w:r>
      <w:r w:rsidR="00F44FEC" w:rsidRPr="00467C54">
        <w:rPr>
          <w:rFonts w:asciiTheme="majorHAnsi" w:hAnsiTheme="majorHAnsi" w:cstheme="minorHAnsi"/>
        </w:rPr>
        <w:t>all the individual items scores, with the reverse items coded to incorporate their logical meaning; ie, not endorsing a negative was assumed to be positive.</w:t>
      </w:r>
    </w:p>
    <w:p w:rsidR="0004197B" w:rsidRPr="00467C54" w:rsidRDefault="0004197B" w:rsidP="005A0156">
      <w:pPr>
        <w:rPr>
          <w:rFonts w:asciiTheme="majorHAnsi" w:hAnsiTheme="majorHAnsi" w:cstheme="minorHAnsi"/>
        </w:rPr>
      </w:pPr>
    </w:p>
    <w:tbl>
      <w:tblPr>
        <w:tblStyle w:val="TableGrid"/>
        <w:tblpPr w:leftFromText="180" w:rightFromText="180" w:vertAnchor="page" w:horzAnchor="margin" w:tblpY="379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40C5F" w:rsidRPr="00467C54" w:rsidTr="00640C5F">
        <w:tc>
          <w:tcPr>
            <w:tcW w:w="4621" w:type="dxa"/>
          </w:tcPr>
          <w:p w:rsidR="00640C5F" w:rsidRPr="00467C54" w:rsidRDefault="00640C5F" w:rsidP="00640C5F">
            <w:pPr>
              <w:rPr>
                <w:rFonts w:asciiTheme="majorHAnsi" w:hAnsiTheme="majorHAnsi" w:cstheme="minorHAnsi"/>
                <w:i/>
              </w:rPr>
            </w:pPr>
            <w:r w:rsidRPr="00467C54">
              <w:rPr>
                <w:rFonts w:asciiTheme="majorHAnsi" w:hAnsiTheme="majorHAnsi" w:cstheme="minorHAnsi"/>
                <w:i/>
              </w:rPr>
              <w:t>All NHSEEI items except 4, 16, 22 &amp; 29</w:t>
            </w:r>
          </w:p>
        </w:tc>
        <w:tc>
          <w:tcPr>
            <w:tcW w:w="4621" w:type="dxa"/>
          </w:tcPr>
          <w:p w:rsidR="00640C5F" w:rsidRPr="00467C54" w:rsidRDefault="00640C5F" w:rsidP="00640C5F">
            <w:pPr>
              <w:rPr>
                <w:rFonts w:asciiTheme="majorHAnsi" w:hAnsiTheme="majorHAnsi" w:cstheme="minorHAnsi"/>
                <w:i/>
              </w:rPr>
            </w:pPr>
            <w:r w:rsidRPr="00467C54">
              <w:rPr>
                <w:rFonts w:asciiTheme="majorHAnsi" w:hAnsiTheme="majorHAnsi" w:cstheme="minorHAnsi"/>
                <w:i/>
              </w:rPr>
              <w:t>NHSEEI items 4, 16 &amp; 22 (reversed items)</w:t>
            </w:r>
          </w:p>
        </w:tc>
      </w:tr>
      <w:tr w:rsidR="00640C5F" w:rsidRPr="00467C54" w:rsidTr="00640C5F">
        <w:tc>
          <w:tcPr>
            <w:tcW w:w="4621" w:type="dxa"/>
          </w:tcPr>
          <w:p w:rsidR="00640C5F" w:rsidRPr="00467C54" w:rsidRDefault="00640C5F" w:rsidP="00640C5F">
            <w:pPr>
              <w:rPr>
                <w:rFonts w:asciiTheme="majorHAnsi" w:hAnsiTheme="majorHAnsi" w:cstheme="minorHAnsi"/>
              </w:rPr>
            </w:pPr>
            <w:r w:rsidRPr="00467C54">
              <w:rPr>
                <w:rFonts w:asciiTheme="majorHAnsi" w:hAnsiTheme="majorHAnsi" w:cstheme="minorHAnsi"/>
              </w:rPr>
              <w:t>1 = Strongly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2 =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3 = Slightly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4 = Slightly 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5 = 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6 = Strongly Agree</w:t>
            </w:r>
          </w:p>
        </w:tc>
        <w:tc>
          <w:tcPr>
            <w:tcW w:w="4621" w:type="dxa"/>
          </w:tcPr>
          <w:p w:rsidR="00640C5F" w:rsidRPr="00467C54" w:rsidRDefault="00640C5F" w:rsidP="00640C5F">
            <w:pPr>
              <w:rPr>
                <w:rFonts w:asciiTheme="majorHAnsi" w:hAnsiTheme="majorHAnsi" w:cstheme="minorHAnsi"/>
              </w:rPr>
            </w:pPr>
            <w:r w:rsidRPr="00467C54">
              <w:rPr>
                <w:rFonts w:asciiTheme="majorHAnsi" w:hAnsiTheme="majorHAnsi" w:cstheme="minorHAnsi"/>
              </w:rPr>
              <w:t>6 = Strongly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5 =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4 = Slightly Disagree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3 = Slightly 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2  = Agree</w:t>
            </w:r>
          </w:p>
          <w:p w:rsidR="00640C5F" w:rsidRPr="00467C54" w:rsidRDefault="00640C5F" w:rsidP="00640C5F">
            <w:pPr>
              <w:rPr>
                <w:rFonts w:asciiTheme="majorHAnsi" w:hAnsiTheme="majorHAnsi" w:cstheme="minorHAnsi"/>
              </w:rPr>
            </w:pPr>
            <w:r w:rsidRPr="00467C54">
              <w:rPr>
                <w:rFonts w:asciiTheme="majorHAnsi" w:hAnsiTheme="majorHAnsi" w:cstheme="minorHAnsi"/>
              </w:rPr>
              <w:t>1 = Strongly Agree</w:t>
            </w:r>
          </w:p>
        </w:tc>
      </w:tr>
    </w:tbl>
    <w:p w:rsidR="0086668A" w:rsidRPr="00467C54" w:rsidRDefault="0086668A" w:rsidP="005A0156">
      <w:pPr>
        <w:rPr>
          <w:rFonts w:asciiTheme="majorHAnsi" w:hAnsiTheme="majorHAnsi" w:cstheme="minorHAnsi"/>
        </w:rPr>
      </w:pPr>
      <w:r w:rsidRPr="00467C54">
        <w:rPr>
          <w:rFonts w:asciiTheme="majorHAnsi" w:hAnsiTheme="majorHAnsi" w:cstheme="minorHAnsi"/>
        </w:rPr>
        <w:t>Box 2. Logical scoring</w:t>
      </w:r>
    </w:p>
    <w:p w:rsidR="00640C5F" w:rsidRPr="00467C54" w:rsidRDefault="00640C5F" w:rsidP="005A0156">
      <w:pPr>
        <w:rPr>
          <w:rFonts w:asciiTheme="majorHAnsi" w:hAnsiTheme="majorHAnsi" w:cstheme="minorHAnsi"/>
        </w:rPr>
      </w:pPr>
    </w:p>
    <w:p w:rsidR="00640C5F" w:rsidRPr="00467C54" w:rsidRDefault="00640C5F" w:rsidP="005A0156">
      <w:pPr>
        <w:rPr>
          <w:rFonts w:asciiTheme="majorHAnsi" w:hAnsiTheme="majorHAnsi" w:cstheme="minorHAnsi"/>
        </w:rPr>
      </w:pPr>
      <w:r w:rsidRPr="00467C54">
        <w:rPr>
          <w:rFonts w:asciiTheme="majorHAnsi" w:hAnsiTheme="majorHAnsi" w:cstheme="minorHAnsi"/>
        </w:rPr>
        <w:t xml:space="preserve">Figure </w:t>
      </w:r>
      <w:r w:rsidRPr="00467C54">
        <w:rPr>
          <w:rFonts w:asciiTheme="majorHAnsi" w:hAnsiTheme="majorHAnsi" w:cstheme="minorHAnsi"/>
          <w:i/>
        </w:rPr>
        <w:t>5</w:t>
      </w:r>
      <w:r w:rsidRPr="00467C54">
        <w:rPr>
          <w:rFonts w:asciiTheme="majorHAnsi" w:hAnsiTheme="majorHAnsi" w:cstheme="minorHAnsi"/>
        </w:rPr>
        <w:t xml:space="preserve"> below shows the mean NHSEEI by profession. It must be remembered that these groups are not numerically equivalent</w:t>
      </w:r>
      <w:r w:rsidR="001D258F" w:rsidRPr="00467C54">
        <w:rPr>
          <w:rFonts w:asciiTheme="majorHAnsi" w:hAnsiTheme="majorHAnsi" w:cstheme="minorHAnsi"/>
        </w:rPr>
        <w:t xml:space="preserve"> (figure 2)</w:t>
      </w:r>
      <w:r w:rsidRPr="00467C54">
        <w:rPr>
          <w:rFonts w:asciiTheme="majorHAnsi" w:hAnsiTheme="majorHAnsi" w:cstheme="minorHAnsi"/>
        </w:rPr>
        <w:t>. For example, although this graph looks good for managers (N=20) and less so for support staff (N=58) it is only a summary and requires further statistical analysis. This is returned to.</w:t>
      </w:r>
    </w:p>
    <w:p w:rsidR="00591C88" w:rsidRPr="00467C54" w:rsidRDefault="00575666" w:rsidP="005A0156">
      <w:pPr>
        <w:rPr>
          <w:rFonts w:asciiTheme="majorHAnsi" w:hAnsiTheme="majorHAnsi" w:cstheme="minorHAnsi"/>
        </w:rPr>
      </w:pPr>
      <w:r w:rsidRPr="00467C54">
        <w:rPr>
          <w:rFonts w:asciiTheme="majorHAnsi" w:hAnsiTheme="majorHAnsi" w:cstheme="minorHAnsi"/>
          <w:noProof/>
          <w:lang w:eastAsia="en-GB"/>
        </w:rPr>
        <w:drawing>
          <wp:inline distT="0" distB="0" distL="0" distR="0">
            <wp:extent cx="5731510" cy="3743239"/>
            <wp:effectExtent l="19050" t="0" r="21590" b="0"/>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1C88" w:rsidRPr="00467C54" w:rsidRDefault="00591C88" w:rsidP="00B27D48">
      <w:pPr>
        <w:pStyle w:val="Heading5"/>
        <w:jc w:val="center"/>
      </w:pPr>
      <w:bookmarkStart w:id="27" w:name="_Toc349398126"/>
      <w:bookmarkStart w:id="28" w:name="_Toc349398198"/>
      <w:bookmarkStart w:id="29" w:name="_Toc351020505"/>
      <w:r w:rsidRPr="00467C54">
        <w:t xml:space="preserve">Figure </w:t>
      </w:r>
      <w:r w:rsidR="001F60CA" w:rsidRPr="00467C54">
        <w:t>5</w:t>
      </w:r>
      <w:r w:rsidRPr="00467C54">
        <w:t xml:space="preserve">. Mean </w:t>
      </w:r>
      <w:r w:rsidR="001B0018" w:rsidRPr="00467C54">
        <w:t>NHSEEI</w:t>
      </w:r>
      <w:r w:rsidR="00DE4A04" w:rsidRPr="00467C54">
        <w:t xml:space="preserve"> (%)</w:t>
      </w:r>
      <w:r w:rsidRPr="00467C54">
        <w:t xml:space="preserve"> by profession</w:t>
      </w:r>
      <w:bookmarkEnd w:id="27"/>
      <w:bookmarkEnd w:id="28"/>
      <w:bookmarkEnd w:id="29"/>
    </w:p>
    <w:p w:rsidR="007E248C" w:rsidRPr="00467C54" w:rsidRDefault="007E248C" w:rsidP="005A0156">
      <w:pPr>
        <w:rPr>
          <w:rFonts w:asciiTheme="majorHAnsi" w:hAnsiTheme="majorHAnsi" w:cstheme="minorHAnsi"/>
        </w:rPr>
      </w:pPr>
    </w:p>
    <w:p w:rsidR="003941AA" w:rsidRPr="00467C54" w:rsidRDefault="00F44FEC" w:rsidP="00640C5F">
      <w:pPr>
        <w:rPr>
          <w:rFonts w:asciiTheme="majorHAnsi" w:hAnsiTheme="majorHAnsi" w:cstheme="minorHAnsi"/>
        </w:rPr>
      </w:pPr>
      <w:r w:rsidRPr="00467C54">
        <w:rPr>
          <w:rFonts w:asciiTheme="majorHAnsi" w:hAnsiTheme="majorHAnsi" w:cstheme="minorHAnsi"/>
        </w:rPr>
        <w:t>Finally in this descriptive section, we collated data on item 29: ‘</w:t>
      </w:r>
      <w:r w:rsidRPr="00467C54">
        <w:rPr>
          <w:rFonts w:asciiTheme="majorHAnsi" w:hAnsiTheme="majorHAnsi" w:cstheme="minorHAnsi"/>
          <w:i/>
        </w:rPr>
        <w:t>Overall within my organisation</w:t>
      </w:r>
      <w:r w:rsidR="00CB0D06" w:rsidRPr="00467C54">
        <w:rPr>
          <w:rFonts w:asciiTheme="majorHAnsi" w:hAnsiTheme="majorHAnsi" w:cstheme="minorHAnsi"/>
          <w:i/>
        </w:rPr>
        <w:t xml:space="preserve">: scale 0(very poor experience) – 10 (very good experience)’. </w:t>
      </w:r>
      <w:r w:rsidR="00F8533E" w:rsidRPr="00467C54">
        <w:rPr>
          <w:rFonts w:asciiTheme="majorHAnsi" w:hAnsiTheme="majorHAnsi" w:cstheme="minorHAnsi"/>
        </w:rPr>
        <w:t>In order to sh</w:t>
      </w:r>
      <w:r w:rsidR="00C45EF7" w:rsidRPr="00467C54">
        <w:rPr>
          <w:rFonts w:asciiTheme="majorHAnsi" w:hAnsiTheme="majorHAnsi" w:cstheme="minorHAnsi"/>
        </w:rPr>
        <w:t xml:space="preserve">ow any relationship between the </w:t>
      </w:r>
      <w:r w:rsidR="001B0018" w:rsidRPr="00467C54">
        <w:rPr>
          <w:rFonts w:asciiTheme="majorHAnsi" w:hAnsiTheme="majorHAnsi" w:cstheme="minorHAnsi"/>
        </w:rPr>
        <w:t>NHSEEI</w:t>
      </w:r>
      <w:r w:rsidR="00C45EF7" w:rsidRPr="00467C54">
        <w:rPr>
          <w:rFonts w:asciiTheme="majorHAnsi" w:hAnsiTheme="majorHAnsi" w:cstheme="minorHAnsi"/>
        </w:rPr>
        <w:t xml:space="preserve"> </w:t>
      </w:r>
      <w:r w:rsidR="00F8533E" w:rsidRPr="00467C54">
        <w:rPr>
          <w:rFonts w:asciiTheme="majorHAnsi" w:hAnsiTheme="majorHAnsi" w:cstheme="minorHAnsi"/>
        </w:rPr>
        <w:t>and re</w:t>
      </w:r>
      <w:r w:rsidR="003F737B" w:rsidRPr="00467C54">
        <w:rPr>
          <w:rFonts w:asciiTheme="majorHAnsi" w:hAnsiTheme="majorHAnsi" w:cstheme="minorHAnsi"/>
        </w:rPr>
        <w:t>s</w:t>
      </w:r>
      <w:r w:rsidR="00F8533E" w:rsidRPr="00467C54">
        <w:rPr>
          <w:rFonts w:asciiTheme="majorHAnsi" w:hAnsiTheme="majorHAnsi" w:cstheme="minorHAnsi"/>
        </w:rPr>
        <w:t xml:space="preserve">ponses to item 29 the two </w:t>
      </w:r>
      <w:r w:rsidR="00D3773F" w:rsidRPr="00467C54">
        <w:rPr>
          <w:rFonts w:asciiTheme="majorHAnsi" w:hAnsiTheme="majorHAnsi" w:cstheme="minorHAnsi"/>
        </w:rPr>
        <w:t xml:space="preserve">response </w:t>
      </w:r>
      <w:r w:rsidR="00F8533E" w:rsidRPr="00467C54">
        <w:rPr>
          <w:rFonts w:asciiTheme="majorHAnsi" w:hAnsiTheme="majorHAnsi" w:cstheme="minorHAnsi"/>
        </w:rPr>
        <w:t xml:space="preserve">spreads were illustrated together. </w:t>
      </w:r>
      <w:r w:rsidR="005D3D21" w:rsidRPr="00467C54">
        <w:rPr>
          <w:rFonts w:asciiTheme="majorHAnsi" w:hAnsiTheme="majorHAnsi" w:cstheme="minorHAnsi"/>
        </w:rPr>
        <w:t xml:space="preserve">The total spread of </w:t>
      </w:r>
      <w:r w:rsidR="001D258F" w:rsidRPr="00467C54">
        <w:rPr>
          <w:rFonts w:asciiTheme="majorHAnsi" w:hAnsiTheme="majorHAnsi" w:cstheme="minorHAnsi"/>
        </w:rPr>
        <w:t xml:space="preserve">grouped </w:t>
      </w:r>
      <w:r w:rsidR="005D3D21" w:rsidRPr="00467C54">
        <w:rPr>
          <w:rFonts w:asciiTheme="majorHAnsi" w:hAnsiTheme="majorHAnsi" w:cstheme="minorHAnsi"/>
        </w:rPr>
        <w:t>responses</w:t>
      </w:r>
      <w:r w:rsidR="00090755" w:rsidRPr="00467C54">
        <w:rPr>
          <w:rFonts w:asciiTheme="majorHAnsi" w:hAnsiTheme="majorHAnsi" w:cstheme="minorHAnsi"/>
        </w:rPr>
        <w:t xml:space="preserve"> to </w:t>
      </w:r>
      <w:r w:rsidR="001B0018" w:rsidRPr="00467C54">
        <w:rPr>
          <w:rFonts w:asciiTheme="majorHAnsi" w:hAnsiTheme="majorHAnsi" w:cstheme="minorHAnsi"/>
        </w:rPr>
        <w:t>NHSEEI</w:t>
      </w:r>
      <w:r w:rsidR="005D3D21" w:rsidRPr="00467C54">
        <w:rPr>
          <w:rFonts w:asciiTheme="majorHAnsi" w:hAnsiTheme="majorHAnsi" w:cstheme="minorHAnsi"/>
        </w:rPr>
        <w:t xml:space="preserve"> </w:t>
      </w:r>
      <w:r w:rsidR="00090755" w:rsidRPr="00467C54">
        <w:rPr>
          <w:rFonts w:asciiTheme="majorHAnsi" w:hAnsiTheme="majorHAnsi" w:cstheme="minorHAnsi"/>
        </w:rPr>
        <w:t xml:space="preserve">is illustrated </w:t>
      </w:r>
      <w:r w:rsidR="005D3D21" w:rsidRPr="00467C54">
        <w:rPr>
          <w:rFonts w:asciiTheme="majorHAnsi" w:hAnsiTheme="majorHAnsi" w:cstheme="minorHAnsi"/>
        </w:rPr>
        <w:t>in fi</w:t>
      </w:r>
      <w:r w:rsidR="004A02C8" w:rsidRPr="00467C54">
        <w:rPr>
          <w:rFonts w:asciiTheme="majorHAnsi" w:hAnsiTheme="majorHAnsi" w:cstheme="minorHAnsi"/>
        </w:rPr>
        <w:t xml:space="preserve">gure </w:t>
      </w:r>
      <w:r w:rsidR="001F60CA" w:rsidRPr="00467C54">
        <w:rPr>
          <w:rFonts w:asciiTheme="majorHAnsi" w:hAnsiTheme="majorHAnsi" w:cstheme="minorHAnsi"/>
          <w:i/>
        </w:rPr>
        <w:t>6</w:t>
      </w:r>
      <w:r w:rsidR="004A02C8" w:rsidRPr="00467C54">
        <w:rPr>
          <w:rFonts w:asciiTheme="majorHAnsi" w:hAnsiTheme="majorHAnsi" w:cstheme="minorHAnsi"/>
          <w:i/>
        </w:rPr>
        <w:t>.</w:t>
      </w:r>
      <w:r w:rsidR="004A02C8" w:rsidRPr="00467C54">
        <w:rPr>
          <w:rFonts w:asciiTheme="majorHAnsi" w:hAnsiTheme="majorHAnsi" w:cstheme="minorHAnsi"/>
        </w:rPr>
        <w:t xml:space="preserve"> </w:t>
      </w:r>
      <w:r w:rsidR="00090755" w:rsidRPr="00467C54">
        <w:rPr>
          <w:rFonts w:asciiTheme="majorHAnsi" w:hAnsiTheme="majorHAnsi" w:cstheme="minorHAnsi"/>
        </w:rPr>
        <w:t xml:space="preserve">The total spread of responses to Q29 is in figure </w:t>
      </w:r>
      <w:r w:rsidR="00866153" w:rsidRPr="00467C54">
        <w:rPr>
          <w:rFonts w:asciiTheme="majorHAnsi" w:hAnsiTheme="majorHAnsi" w:cstheme="minorHAnsi"/>
          <w:i/>
        </w:rPr>
        <w:t>7</w:t>
      </w:r>
      <w:r w:rsidR="00090755" w:rsidRPr="00467C54">
        <w:rPr>
          <w:rFonts w:asciiTheme="majorHAnsi" w:hAnsiTheme="majorHAnsi" w:cstheme="minorHAnsi"/>
        </w:rPr>
        <w:t xml:space="preserve">. The </w:t>
      </w:r>
      <w:r w:rsidR="005E571E" w:rsidRPr="00467C54">
        <w:rPr>
          <w:rFonts w:asciiTheme="majorHAnsi" w:hAnsiTheme="majorHAnsi" w:cstheme="minorHAnsi"/>
        </w:rPr>
        <w:t xml:space="preserve">samples were </w:t>
      </w:r>
      <w:r w:rsidR="00C16EC5" w:rsidRPr="00467C54">
        <w:rPr>
          <w:rFonts w:asciiTheme="majorHAnsi" w:hAnsiTheme="majorHAnsi" w:cstheme="minorHAnsi"/>
        </w:rPr>
        <w:t>checked</w:t>
      </w:r>
      <w:r w:rsidR="005E571E" w:rsidRPr="00467C54">
        <w:rPr>
          <w:rFonts w:asciiTheme="majorHAnsi" w:hAnsiTheme="majorHAnsi" w:cstheme="minorHAnsi"/>
        </w:rPr>
        <w:t xml:space="preserve"> for normality</w:t>
      </w:r>
      <w:r w:rsidR="00C16EC5" w:rsidRPr="00467C54">
        <w:rPr>
          <w:rStyle w:val="FootnoteReference"/>
          <w:rFonts w:asciiTheme="majorHAnsi" w:hAnsiTheme="majorHAnsi" w:cstheme="minorHAnsi"/>
          <w:vertAlign w:val="baseline"/>
        </w:rPr>
        <w:footnoteReference w:customMarkFollows="1" w:id="3"/>
        <w:sym w:font="Symbol" w:char="F023"/>
      </w:r>
      <w:r w:rsidR="00C16EC5" w:rsidRPr="00467C54">
        <w:rPr>
          <w:rFonts w:asciiTheme="majorHAnsi" w:hAnsiTheme="majorHAnsi" w:cstheme="minorHAnsi"/>
        </w:rPr>
        <w:t>,</w:t>
      </w:r>
      <w:r w:rsidR="005D3D21" w:rsidRPr="00467C54">
        <w:rPr>
          <w:rFonts w:asciiTheme="majorHAnsi" w:hAnsiTheme="majorHAnsi" w:cstheme="minorHAnsi"/>
        </w:rPr>
        <w:t xml:space="preserve"> an important assumption to ascertain for further analysis.</w:t>
      </w:r>
      <w:r w:rsidR="00C16EC5" w:rsidRPr="00467C54">
        <w:rPr>
          <w:rFonts w:asciiTheme="majorHAnsi" w:hAnsiTheme="majorHAnsi" w:cstheme="minorHAnsi"/>
        </w:rPr>
        <w:t xml:space="preserve"> </w:t>
      </w:r>
      <w:r w:rsidR="005D3D21" w:rsidRPr="00467C54">
        <w:rPr>
          <w:rFonts w:asciiTheme="majorHAnsi" w:hAnsiTheme="majorHAnsi" w:cstheme="minorHAnsi"/>
        </w:rPr>
        <w:t xml:space="preserve">Even with the naked eye it can be seen that the distributions in figure </w:t>
      </w:r>
      <w:r w:rsidR="00866153" w:rsidRPr="00467C54">
        <w:rPr>
          <w:rFonts w:asciiTheme="majorHAnsi" w:hAnsiTheme="majorHAnsi" w:cstheme="minorHAnsi"/>
          <w:i/>
        </w:rPr>
        <w:t>6</w:t>
      </w:r>
      <w:r w:rsidR="005D3D21" w:rsidRPr="00467C54">
        <w:rPr>
          <w:rFonts w:asciiTheme="majorHAnsi" w:hAnsiTheme="majorHAnsi" w:cstheme="minorHAnsi"/>
        </w:rPr>
        <w:t xml:space="preserve"> and figure </w:t>
      </w:r>
      <w:r w:rsidR="00866153" w:rsidRPr="00467C54">
        <w:rPr>
          <w:rFonts w:asciiTheme="majorHAnsi" w:hAnsiTheme="majorHAnsi" w:cstheme="minorHAnsi"/>
          <w:i/>
        </w:rPr>
        <w:t>7</w:t>
      </w:r>
      <w:r w:rsidR="005D3D21" w:rsidRPr="00467C54">
        <w:rPr>
          <w:rFonts w:asciiTheme="majorHAnsi" w:hAnsiTheme="majorHAnsi" w:cstheme="minorHAnsi"/>
          <w:i/>
        </w:rPr>
        <w:t xml:space="preserve"> </w:t>
      </w:r>
      <w:r w:rsidR="005D3D21" w:rsidRPr="00467C54">
        <w:rPr>
          <w:rFonts w:asciiTheme="majorHAnsi" w:hAnsiTheme="majorHAnsi" w:cstheme="minorHAnsi"/>
        </w:rPr>
        <w:t xml:space="preserve">are comparable. This suggests that the measures may correlate, and </w:t>
      </w:r>
      <w:r w:rsidR="00690731" w:rsidRPr="00467C54">
        <w:rPr>
          <w:rFonts w:asciiTheme="majorHAnsi" w:hAnsiTheme="majorHAnsi" w:cstheme="minorHAnsi"/>
        </w:rPr>
        <w:t xml:space="preserve">the significance of </w:t>
      </w:r>
      <w:r w:rsidR="005D3D21" w:rsidRPr="00467C54">
        <w:rPr>
          <w:rFonts w:asciiTheme="majorHAnsi" w:hAnsiTheme="majorHAnsi" w:cstheme="minorHAnsi"/>
        </w:rPr>
        <w:t xml:space="preserve">this will be </w:t>
      </w:r>
      <w:r w:rsidR="00CB0D06" w:rsidRPr="00467C54">
        <w:rPr>
          <w:rFonts w:asciiTheme="majorHAnsi" w:hAnsiTheme="majorHAnsi" w:cstheme="minorHAnsi"/>
        </w:rPr>
        <w:t>discussed</w:t>
      </w:r>
      <w:r w:rsidR="005D3D21" w:rsidRPr="00467C54">
        <w:rPr>
          <w:rFonts w:asciiTheme="majorHAnsi" w:hAnsiTheme="majorHAnsi" w:cstheme="minorHAnsi"/>
        </w:rPr>
        <w:t xml:space="preserve"> in the next section.</w:t>
      </w:r>
    </w:p>
    <w:p w:rsidR="007E248C" w:rsidRPr="00467C54" w:rsidRDefault="00B40C65" w:rsidP="00B27D48">
      <w:pPr>
        <w:pStyle w:val="Heading5"/>
        <w:jc w:val="center"/>
        <w:rPr>
          <w:rStyle w:val="Heading4Char"/>
        </w:rPr>
      </w:pPr>
      <w:bookmarkStart w:id="30" w:name="_Toc351020506"/>
      <w:r w:rsidRPr="00467C54">
        <w:rPr>
          <w:noProof/>
          <w:lang w:eastAsia="en-GB"/>
        </w:rPr>
        <w:drawing>
          <wp:inline distT="0" distB="0" distL="0" distR="0">
            <wp:extent cx="5742940" cy="3409950"/>
            <wp:effectExtent l="19050" t="0" r="101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7230C" w:rsidRPr="00467C54">
        <w:t xml:space="preserve"> </w:t>
      </w:r>
      <w:r w:rsidR="001F60CA" w:rsidRPr="00467C54">
        <w:t>Figure 6</w:t>
      </w:r>
      <w:r w:rsidR="00E45F5B" w:rsidRPr="00467C54">
        <w:t xml:space="preserve">. </w:t>
      </w:r>
      <w:r w:rsidR="001F60CA" w:rsidRPr="00467C54">
        <w:t>NHSEEI score</w:t>
      </w:r>
      <w:r w:rsidR="00E45F5B" w:rsidRPr="00467C54">
        <w:t xml:space="preserve"> by frequency</w:t>
      </w:r>
      <w:bookmarkEnd w:id="30"/>
    </w:p>
    <w:p w:rsidR="001F60CA" w:rsidRPr="00467C54" w:rsidRDefault="001F60CA" w:rsidP="005A0156">
      <w:pPr>
        <w:rPr>
          <w:rFonts w:asciiTheme="majorHAnsi" w:hAnsiTheme="majorHAnsi"/>
        </w:rPr>
      </w:pPr>
    </w:p>
    <w:p w:rsidR="00871E4F" w:rsidRPr="00467C54" w:rsidRDefault="003941AA" w:rsidP="005A0156">
      <w:pPr>
        <w:rPr>
          <w:rFonts w:asciiTheme="majorHAnsi" w:hAnsiTheme="majorHAnsi"/>
        </w:rPr>
      </w:pPr>
      <w:r w:rsidRPr="00467C54">
        <w:rPr>
          <w:rFonts w:asciiTheme="majorHAnsi" w:hAnsiTheme="majorHAnsi"/>
          <w:noProof/>
          <w:lang w:eastAsia="en-GB"/>
        </w:rPr>
        <w:drawing>
          <wp:inline distT="0" distB="0" distL="0" distR="0">
            <wp:extent cx="5735320" cy="3406140"/>
            <wp:effectExtent l="19050" t="0" r="17780" b="381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1E4F" w:rsidRPr="00467C54" w:rsidRDefault="001F60CA" w:rsidP="00B27D48">
      <w:pPr>
        <w:pStyle w:val="Heading5"/>
        <w:jc w:val="center"/>
      </w:pPr>
      <w:bookmarkStart w:id="31" w:name="_Toc349398127"/>
      <w:bookmarkStart w:id="32" w:name="_Toc349398199"/>
      <w:bookmarkStart w:id="33" w:name="_Toc351020507"/>
      <w:r w:rsidRPr="00467C54">
        <w:t>Figure 7</w:t>
      </w:r>
      <w:r w:rsidR="00871E4F" w:rsidRPr="00467C54">
        <w:t xml:space="preserve">. </w:t>
      </w:r>
      <w:r w:rsidRPr="00467C54">
        <w:t xml:space="preserve">Responses to item 29: </w:t>
      </w:r>
      <w:r w:rsidR="00871E4F" w:rsidRPr="00467C54">
        <w:t>Overall within my organisation</w:t>
      </w:r>
      <w:r w:rsidR="00F1447E" w:rsidRPr="00467C54">
        <w:t>…</w:t>
      </w:r>
      <w:bookmarkEnd w:id="31"/>
      <w:bookmarkEnd w:id="32"/>
      <w:bookmarkEnd w:id="33"/>
    </w:p>
    <w:p w:rsidR="007E248C" w:rsidRPr="00467C54" w:rsidRDefault="007E248C" w:rsidP="005A0156">
      <w:pPr>
        <w:autoSpaceDE w:val="0"/>
        <w:autoSpaceDN w:val="0"/>
        <w:adjustRightInd w:val="0"/>
        <w:rPr>
          <w:rFonts w:asciiTheme="majorHAnsi" w:hAnsiTheme="majorHAnsi" w:cs="Times New Roman"/>
          <w:sz w:val="24"/>
          <w:szCs w:val="24"/>
        </w:rPr>
      </w:pPr>
    </w:p>
    <w:p w:rsidR="0023740F" w:rsidRPr="00467C54" w:rsidRDefault="0023740F" w:rsidP="005A0156">
      <w:pPr>
        <w:pStyle w:val="Heading2"/>
      </w:pPr>
      <w:bookmarkStart w:id="34" w:name="_Toc351201883"/>
      <w:r w:rsidRPr="00467C54">
        <w:t>Analysis</w:t>
      </w:r>
      <w:bookmarkEnd w:id="34"/>
    </w:p>
    <w:p w:rsidR="0023740F" w:rsidRPr="00467C54" w:rsidRDefault="0023740F" w:rsidP="005A0156">
      <w:pPr>
        <w:rPr>
          <w:rFonts w:asciiTheme="majorHAnsi" w:hAnsiTheme="majorHAnsi"/>
        </w:rPr>
      </w:pPr>
      <w:r w:rsidRPr="00467C54">
        <w:rPr>
          <w:rFonts w:asciiTheme="majorHAnsi" w:hAnsiTheme="majorHAnsi"/>
        </w:rPr>
        <w:t xml:space="preserve">All items were coded as </w:t>
      </w:r>
      <w:r w:rsidR="00B40C65" w:rsidRPr="00467C54">
        <w:rPr>
          <w:rFonts w:asciiTheme="majorHAnsi" w:hAnsiTheme="majorHAnsi"/>
        </w:rPr>
        <w:t>box 2</w:t>
      </w:r>
      <w:r w:rsidRPr="00467C54">
        <w:rPr>
          <w:rFonts w:asciiTheme="majorHAnsi" w:hAnsiTheme="majorHAnsi"/>
        </w:rPr>
        <w:t xml:space="preserve"> in SPSS and Winsteps for inferential analysis. For Rasch analysis in jMetrik the coding pattern was the same but ran from 0 – 5 instead of 1 – 6. </w:t>
      </w:r>
      <w:r w:rsidR="008C6EB8" w:rsidRPr="00467C54">
        <w:rPr>
          <w:rFonts w:asciiTheme="majorHAnsi" w:hAnsiTheme="majorHAnsi"/>
        </w:rPr>
        <w:t>This was because Rasch analysis needs a zero baseline in jMetrik.</w:t>
      </w:r>
    </w:p>
    <w:p w:rsidR="0023740F" w:rsidRPr="00467C54" w:rsidRDefault="00C01212" w:rsidP="005A0156">
      <w:pPr>
        <w:pStyle w:val="Heading4"/>
        <w:rPr>
          <w:lang w:val="en-US"/>
        </w:rPr>
      </w:pPr>
      <w:bookmarkStart w:id="35" w:name="_Toc349398128"/>
      <w:bookmarkStart w:id="36" w:name="_Toc349398200"/>
      <w:bookmarkStart w:id="37" w:name="_Toc349399057"/>
      <w:bookmarkStart w:id="38" w:name="_Toc349475854"/>
      <w:bookmarkStart w:id="39" w:name="_Toc351020514"/>
      <w:bookmarkStart w:id="40" w:name="_Toc351130767"/>
      <w:r w:rsidRPr="00467C54">
        <w:rPr>
          <w:lang w:val="en-US"/>
        </w:rPr>
        <w:t>Box</w:t>
      </w:r>
      <w:r w:rsidR="00866153" w:rsidRPr="00467C54">
        <w:rPr>
          <w:lang w:val="en-US"/>
        </w:rPr>
        <w:t xml:space="preserve"> 1. I</w:t>
      </w:r>
      <w:r w:rsidRPr="00467C54">
        <w:rPr>
          <w:lang w:val="en-US"/>
        </w:rPr>
        <w:t>tem scoring</w:t>
      </w:r>
      <w:bookmarkEnd w:id="35"/>
      <w:bookmarkEnd w:id="36"/>
      <w:bookmarkEnd w:id="37"/>
      <w:bookmarkEnd w:id="38"/>
      <w:bookmarkEnd w:id="39"/>
      <w:bookmarkEnd w:id="40"/>
    </w:p>
    <w:p w:rsidR="005C5018" w:rsidRPr="00467C54" w:rsidRDefault="006C0185" w:rsidP="005A0156">
      <w:pPr>
        <w:pStyle w:val="Heading3"/>
        <w:rPr>
          <w:lang w:val="en-US"/>
        </w:rPr>
      </w:pPr>
      <w:bookmarkStart w:id="41" w:name="_Toc351201884"/>
      <w:r w:rsidRPr="00467C54">
        <w:rPr>
          <w:lang w:val="en-US"/>
        </w:rPr>
        <w:t>Factor analysis</w:t>
      </w:r>
      <w:bookmarkEnd w:id="41"/>
    </w:p>
    <w:p w:rsidR="00A10F76" w:rsidRPr="00467C54" w:rsidRDefault="003C3798" w:rsidP="005A0156">
      <w:pPr>
        <w:rPr>
          <w:rFonts w:asciiTheme="majorHAnsi" w:hAnsiTheme="majorHAnsi"/>
        </w:rPr>
      </w:pPr>
      <w:r w:rsidRPr="00467C54">
        <w:rPr>
          <w:rFonts w:asciiTheme="majorHAnsi" w:hAnsiTheme="majorHAnsi"/>
        </w:rPr>
        <w:t xml:space="preserve">A factor analysis was run </w:t>
      </w:r>
      <w:r w:rsidR="0023740F" w:rsidRPr="00467C54">
        <w:rPr>
          <w:rFonts w:asciiTheme="majorHAnsi" w:hAnsiTheme="majorHAnsi"/>
        </w:rPr>
        <w:t>in SPSS</w:t>
      </w:r>
      <w:r w:rsidRPr="00467C54">
        <w:rPr>
          <w:rFonts w:asciiTheme="majorHAnsi" w:hAnsiTheme="majorHAnsi"/>
        </w:rPr>
        <w:t xml:space="preserve">. </w:t>
      </w:r>
      <w:r w:rsidR="00A10F76" w:rsidRPr="00467C54">
        <w:rPr>
          <w:rFonts w:asciiTheme="majorHAnsi" w:hAnsiTheme="majorHAnsi"/>
        </w:rPr>
        <w:t>KMO and Bartlett’s test of sphericity</w:t>
      </w:r>
      <w:r w:rsidRPr="00467C54">
        <w:rPr>
          <w:rFonts w:asciiTheme="majorHAnsi" w:hAnsiTheme="majorHAnsi"/>
        </w:rPr>
        <w:t xml:space="preserve"> were calculated to test for suitability of</w:t>
      </w:r>
      <w:r w:rsidR="0023740F" w:rsidRPr="00467C54">
        <w:rPr>
          <w:rFonts w:asciiTheme="majorHAnsi" w:hAnsiTheme="majorHAnsi"/>
        </w:rPr>
        <w:t xml:space="preserve"> factor analysis in this data. Once established </w:t>
      </w:r>
      <w:r w:rsidR="00403F0F" w:rsidRPr="00467C54">
        <w:rPr>
          <w:rFonts w:asciiTheme="majorHAnsi" w:hAnsiTheme="majorHAnsi"/>
        </w:rPr>
        <w:t xml:space="preserve">(p=0.000) </w:t>
      </w:r>
      <w:r w:rsidR="0023740F" w:rsidRPr="00467C54">
        <w:rPr>
          <w:rFonts w:asciiTheme="majorHAnsi" w:hAnsiTheme="majorHAnsi"/>
        </w:rPr>
        <w:t>a</w:t>
      </w:r>
      <w:r w:rsidRPr="00467C54">
        <w:rPr>
          <w:rFonts w:asciiTheme="majorHAnsi" w:hAnsiTheme="majorHAnsi"/>
        </w:rPr>
        <w:t xml:space="preserve"> principal component analysis was then conducted with a varimax rotation based on eigenvalues great</w:t>
      </w:r>
      <w:r w:rsidR="000B3AAF" w:rsidRPr="00467C54">
        <w:rPr>
          <w:rFonts w:asciiTheme="majorHAnsi" w:hAnsiTheme="majorHAnsi"/>
        </w:rPr>
        <w:t>er than 1. Coefficients below .4</w:t>
      </w:r>
      <w:r w:rsidRPr="00467C54">
        <w:rPr>
          <w:rFonts w:asciiTheme="majorHAnsi" w:hAnsiTheme="majorHAnsi"/>
        </w:rPr>
        <w:t xml:space="preserve"> were suppressed.</w:t>
      </w:r>
    </w:p>
    <w:p w:rsidR="003C3798" w:rsidRPr="00467C54" w:rsidRDefault="003C3798" w:rsidP="005A0156">
      <w:pPr>
        <w:rPr>
          <w:rFonts w:asciiTheme="majorHAnsi" w:hAnsiTheme="majorHAnsi"/>
        </w:rPr>
      </w:pPr>
    </w:p>
    <w:p w:rsidR="000C2FA8" w:rsidRPr="00467C54" w:rsidRDefault="008F0FC3" w:rsidP="005A0156">
      <w:pPr>
        <w:rPr>
          <w:rFonts w:asciiTheme="majorHAnsi" w:hAnsiTheme="majorHAnsi"/>
        </w:rPr>
      </w:pPr>
      <w:r w:rsidRPr="00467C54">
        <w:rPr>
          <w:rFonts w:asciiTheme="majorHAnsi" w:hAnsiTheme="majorHAnsi"/>
        </w:rPr>
        <w:t>This analysis generated six factors with eig</w:t>
      </w:r>
      <w:r w:rsidR="00B971C1" w:rsidRPr="00467C54">
        <w:rPr>
          <w:rFonts w:asciiTheme="majorHAnsi" w:hAnsiTheme="majorHAnsi"/>
        </w:rPr>
        <w:t>envalues greater than 1, although it is important to recognise</w:t>
      </w:r>
      <w:r w:rsidRPr="00467C54">
        <w:rPr>
          <w:rFonts w:asciiTheme="majorHAnsi" w:hAnsiTheme="majorHAnsi"/>
        </w:rPr>
        <w:t xml:space="preserve"> the sixth factor was only just greater than 1 (1.003) and accounted for </w:t>
      </w:r>
      <w:r w:rsidR="00FD63EA" w:rsidRPr="00467C54">
        <w:rPr>
          <w:rFonts w:asciiTheme="majorHAnsi" w:hAnsiTheme="majorHAnsi"/>
        </w:rPr>
        <w:t>less than 3.5</w:t>
      </w:r>
      <w:r w:rsidR="006F26BD" w:rsidRPr="00467C54">
        <w:rPr>
          <w:rFonts w:asciiTheme="majorHAnsi" w:hAnsiTheme="majorHAnsi"/>
        </w:rPr>
        <w:t xml:space="preserve">% total variance. </w:t>
      </w:r>
      <w:r w:rsidR="000F3EAF" w:rsidRPr="00467C54">
        <w:rPr>
          <w:rFonts w:asciiTheme="majorHAnsi" w:hAnsiTheme="majorHAnsi"/>
        </w:rPr>
        <w:t xml:space="preserve">Details are </w:t>
      </w:r>
      <w:r w:rsidR="004E0CB7" w:rsidRPr="00467C54">
        <w:rPr>
          <w:rFonts w:asciiTheme="majorHAnsi" w:hAnsiTheme="majorHAnsi"/>
        </w:rPr>
        <w:t>available on request from the evaluation team</w:t>
      </w:r>
      <w:r w:rsidR="000F3EAF" w:rsidRPr="00467C54">
        <w:rPr>
          <w:rFonts w:asciiTheme="majorHAnsi" w:hAnsiTheme="majorHAnsi"/>
        </w:rPr>
        <w:t>. T</w:t>
      </w:r>
      <w:r w:rsidR="000C2FA8" w:rsidRPr="00467C54">
        <w:rPr>
          <w:rFonts w:asciiTheme="majorHAnsi" w:hAnsiTheme="majorHAnsi"/>
        </w:rPr>
        <w:t xml:space="preserve">he best explanation for </w:t>
      </w:r>
      <w:r w:rsidR="00B971C1" w:rsidRPr="00467C54">
        <w:rPr>
          <w:rFonts w:asciiTheme="majorHAnsi" w:hAnsiTheme="majorHAnsi"/>
        </w:rPr>
        <w:t>these factor structures</w:t>
      </w:r>
      <w:r w:rsidR="000C2FA8" w:rsidRPr="00467C54">
        <w:rPr>
          <w:rFonts w:asciiTheme="majorHAnsi" w:hAnsiTheme="majorHAnsi"/>
        </w:rPr>
        <w:t xml:space="preserve"> lies in the grouping of the items within the questionnaire. That is, all the factors</w:t>
      </w:r>
      <w:r w:rsidR="00AF53B7" w:rsidRPr="00467C54">
        <w:rPr>
          <w:rFonts w:asciiTheme="majorHAnsi" w:hAnsiTheme="majorHAnsi"/>
        </w:rPr>
        <w:t xml:space="preserve"> </w:t>
      </w:r>
      <w:r w:rsidR="000C2FA8" w:rsidRPr="00467C54">
        <w:rPr>
          <w:rFonts w:asciiTheme="majorHAnsi" w:hAnsiTheme="majorHAnsi"/>
        </w:rPr>
        <w:t>entail clustered groups of sequential items. Factor one entails items 3 to 12 (with the exception of item 4, the reversed item). Factor two entails items 20 to 28 (with the exception of item 22, the reversed item). Factor 3 entails items 13 to 15. Factor four entails items 17 to 19. Factor five entails items 1 and 2 plus a negative correlation with item 4, and factor six entails the two remaining reversed items 16 and 22.</w:t>
      </w:r>
    </w:p>
    <w:p w:rsidR="000C2FA8" w:rsidRPr="00467C54" w:rsidRDefault="000C2FA8" w:rsidP="005A0156">
      <w:pPr>
        <w:rPr>
          <w:rFonts w:asciiTheme="majorHAnsi" w:hAnsiTheme="majorHAnsi"/>
        </w:rPr>
      </w:pPr>
    </w:p>
    <w:p w:rsidR="00653637" w:rsidRPr="00467C54" w:rsidRDefault="00B971C1" w:rsidP="005A0156">
      <w:pPr>
        <w:rPr>
          <w:rFonts w:asciiTheme="majorHAnsi" w:hAnsiTheme="majorHAnsi"/>
        </w:rPr>
      </w:pPr>
      <w:r w:rsidRPr="00467C54">
        <w:rPr>
          <w:rFonts w:asciiTheme="majorHAnsi" w:hAnsiTheme="majorHAnsi"/>
        </w:rPr>
        <w:t xml:space="preserve">This would suggest that the factors expressed are largely a function of the categorical placing of the items within the questionnaire. Because the only real exceptions to this were the reversed items we removed these items and ran the analysis as before excluding items 4, 16 and 22. This solution generated </w:t>
      </w:r>
      <w:r w:rsidR="00746A5D" w:rsidRPr="00467C54">
        <w:rPr>
          <w:rFonts w:asciiTheme="majorHAnsi" w:hAnsiTheme="majorHAnsi"/>
        </w:rPr>
        <w:t xml:space="preserve">four factors </w:t>
      </w:r>
      <w:r w:rsidRPr="00467C54">
        <w:rPr>
          <w:rFonts w:asciiTheme="majorHAnsi" w:hAnsiTheme="majorHAnsi"/>
        </w:rPr>
        <w:t xml:space="preserve">(table </w:t>
      </w:r>
      <w:r w:rsidR="00866153" w:rsidRPr="00467C54">
        <w:rPr>
          <w:rFonts w:asciiTheme="majorHAnsi" w:hAnsiTheme="majorHAnsi"/>
        </w:rPr>
        <w:t>1</w:t>
      </w:r>
      <w:r w:rsidRPr="00467C54">
        <w:rPr>
          <w:rFonts w:asciiTheme="majorHAnsi" w:hAnsiTheme="majorHAnsi"/>
        </w:rPr>
        <w:t>)</w:t>
      </w:r>
      <w:r w:rsidR="000F3EAF" w:rsidRPr="00467C54">
        <w:rPr>
          <w:rFonts w:asciiTheme="majorHAnsi" w:hAnsiTheme="majorHAnsi"/>
        </w:rPr>
        <w:t>, which</w:t>
      </w:r>
      <w:r w:rsidR="00746A5D" w:rsidRPr="00467C54">
        <w:rPr>
          <w:rFonts w:asciiTheme="majorHAnsi" w:hAnsiTheme="majorHAnsi"/>
        </w:rPr>
        <w:t xml:space="preserve"> means that </w:t>
      </w:r>
      <w:r w:rsidR="00926C52" w:rsidRPr="00467C54">
        <w:rPr>
          <w:rFonts w:asciiTheme="majorHAnsi" w:hAnsiTheme="majorHAnsi"/>
        </w:rPr>
        <w:t xml:space="preserve">the </w:t>
      </w:r>
      <w:r w:rsidR="00746A5D" w:rsidRPr="00467C54">
        <w:rPr>
          <w:rFonts w:asciiTheme="majorHAnsi" w:hAnsiTheme="majorHAnsi"/>
        </w:rPr>
        <w:t xml:space="preserve">three reversed items </w:t>
      </w:r>
      <w:r w:rsidR="009B4A74" w:rsidRPr="00467C54">
        <w:rPr>
          <w:rFonts w:asciiTheme="majorHAnsi" w:hAnsiTheme="majorHAnsi"/>
        </w:rPr>
        <w:t xml:space="preserve">appeared to </w:t>
      </w:r>
      <w:r w:rsidR="00746A5D" w:rsidRPr="00467C54">
        <w:rPr>
          <w:rFonts w:asciiTheme="majorHAnsi" w:hAnsiTheme="majorHAnsi"/>
        </w:rPr>
        <w:t xml:space="preserve">account for the addition of two factors in the original analysis. </w:t>
      </w:r>
      <w:r w:rsidR="009B4A74" w:rsidRPr="00467C54">
        <w:rPr>
          <w:rFonts w:asciiTheme="majorHAnsi" w:hAnsiTheme="majorHAnsi"/>
        </w:rPr>
        <w:t>This time the factor grouping of the items was even more strikingly associated with the grouping of the items within the questionnai</w:t>
      </w:r>
      <w:r w:rsidR="00926C52" w:rsidRPr="00467C54">
        <w:rPr>
          <w:rFonts w:asciiTheme="majorHAnsi" w:hAnsiTheme="majorHAnsi"/>
        </w:rPr>
        <w:t xml:space="preserve">re. Factor 1 entailed </w:t>
      </w:r>
      <w:r w:rsidR="009B4A74" w:rsidRPr="00467C54">
        <w:rPr>
          <w:rFonts w:asciiTheme="majorHAnsi" w:hAnsiTheme="majorHAnsi"/>
        </w:rPr>
        <w:t xml:space="preserve">all the items </w:t>
      </w:r>
      <w:r w:rsidR="00926C52" w:rsidRPr="00467C54">
        <w:rPr>
          <w:rFonts w:asciiTheme="majorHAnsi" w:hAnsiTheme="majorHAnsi"/>
        </w:rPr>
        <w:t xml:space="preserve">except item 1 </w:t>
      </w:r>
      <w:r w:rsidR="009B4A74" w:rsidRPr="00467C54">
        <w:rPr>
          <w:rFonts w:asciiTheme="majorHAnsi" w:hAnsiTheme="majorHAnsi"/>
        </w:rPr>
        <w:t>(2 to 12) from the section about ‘I/me’. Factor 2 entailed all the items about ‘my organisation’ (items 20 to 28). Factors 3 (items 13 to 17) and factor 4 (Items 1, 1</w:t>
      </w:r>
      <w:r w:rsidR="00B4159F" w:rsidRPr="00467C54">
        <w:rPr>
          <w:rFonts w:asciiTheme="majorHAnsi" w:hAnsiTheme="majorHAnsi"/>
        </w:rPr>
        <w:t>8</w:t>
      </w:r>
      <w:r w:rsidR="009B4A74" w:rsidRPr="00467C54">
        <w:rPr>
          <w:rFonts w:asciiTheme="majorHAnsi" w:hAnsiTheme="majorHAnsi"/>
        </w:rPr>
        <w:t xml:space="preserve"> &amp; 1</w:t>
      </w:r>
      <w:r w:rsidR="00B4159F" w:rsidRPr="00467C54">
        <w:rPr>
          <w:rFonts w:asciiTheme="majorHAnsi" w:hAnsiTheme="majorHAnsi"/>
        </w:rPr>
        <w:t>9</w:t>
      </w:r>
      <w:r w:rsidR="009B4A74" w:rsidRPr="00467C54">
        <w:rPr>
          <w:rFonts w:asciiTheme="majorHAnsi" w:hAnsiTheme="majorHAnsi"/>
        </w:rPr>
        <w:t>) entailed the remaining questions</w:t>
      </w:r>
      <w:r w:rsidR="00866153" w:rsidRPr="00467C54">
        <w:rPr>
          <w:rFonts w:asciiTheme="majorHAnsi" w:hAnsiTheme="majorHAnsi"/>
        </w:rPr>
        <w:t xml:space="preserve"> (figure 8)</w:t>
      </w:r>
      <w:r w:rsidR="009B4A74" w:rsidRPr="00467C54">
        <w:rPr>
          <w:rFonts w:asciiTheme="majorHAnsi" w:hAnsiTheme="majorHAnsi"/>
        </w:rPr>
        <w:t>.</w:t>
      </w:r>
      <w:r w:rsidR="00B4159F" w:rsidRPr="00467C54">
        <w:rPr>
          <w:rFonts w:asciiTheme="majorHAnsi" w:hAnsiTheme="majorHAnsi"/>
        </w:rPr>
        <w:t xml:space="preserve"> In summary, the factors are almost entirely explained by the category of question the item relates to. The difference between factors 3 and 4 can thus be explained by the fact that factor 3 relates to questions about ‘my line manager’ </w:t>
      </w:r>
      <w:r w:rsidR="00A01E93" w:rsidRPr="00467C54">
        <w:rPr>
          <w:rFonts w:asciiTheme="majorHAnsi" w:hAnsiTheme="majorHAnsi"/>
        </w:rPr>
        <w:t xml:space="preserve">and </w:t>
      </w:r>
      <w:r w:rsidR="00926C52" w:rsidRPr="00467C54">
        <w:rPr>
          <w:rFonts w:asciiTheme="majorHAnsi" w:hAnsiTheme="majorHAnsi"/>
        </w:rPr>
        <w:t>how the manager manages the team</w:t>
      </w:r>
      <w:r w:rsidR="00A01E93" w:rsidRPr="00467C54">
        <w:rPr>
          <w:rFonts w:asciiTheme="majorHAnsi" w:hAnsiTheme="majorHAnsi"/>
        </w:rPr>
        <w:t xml:space="preserve"> </w:t>
      </w:r>
      <w:r w:rsidR="00B4159F" w:rsidRPr="00467C54">
        <w:rPr>
          <w:rFonts w:asciiTheme="majorHAnsi" w:hAnsiTheme="majorHAnsi"/>
        </w:rPr>
        <w:t>whereas factor 4 is more about</w:t>
      </w:r>
      <w:r w:rsidR="00A01E93" w:rsidRPr="00467C54">
        <w:rPr>
          <w:rFonts w:asciiTheme="majorHAnsi" w:hAnsiTheme="majorHAnsi"/>
        </w:rPr>
        <w:t xml:space="preserve"> how the individual feels about</w:t>
      </w:r>
      <w:r w:rsidR="00B4159F" w:rsidRPr="00467C54">
        <w:rPr>
          <w:rFonts w:asciiTheme="majorHAnsi" w:hAnsiTheme="majorHAnsi"/>
        </w:rPr>
        <w:t xml:space="preserve"> ‘my team’. Item one is the only exception</w:t>
      </w:r>
      <w:r w:rsidR="00926C52" w:rsidRPr="00467C54">
        <w:rPr>
          <w:rFonts w:asciiTheme="majorHAnsi" w:hAnsiTheme="majorHAnsi"/>
        </w:rPr>
        <w:t xml:space="preserve"> to this pattern.</w:t>
      </w:r>
      <w:r w:rsidR="00A01E93" w:rsidRPr="00467C54">
        <w:rPr>
          <w:rFonts w:asciiTheme="majorHAnsi" w:hAnsiTheme="majorHAnsi"/>
        </w:rPr>
        <w:t xml:space="preserve"> This item about clarity of role appears to sit more closely with attitudes towards ‘my team’ than issues about ‘I/me’. </w:t>
      </w:r>
    </w:p>
    <w:p w:rsidR="00653637" w:rsidRPr="00467C54" w:rsidRDefault="00653637" w:rsidP="005A0156">
      <w:pPr>
        <w:rPr>
          <w:rFonts w:asciiTheme="majorHAnsi" w:hAnsiTheme="majorHAnsi"/>
        </w:rPr>
      </w:pPr>
    </w:p>
    <w:p w:rsidR="00545197" w:rsidRPr="00467C54" w:rsidRDefault="00FD63EA" w:rsidP="005A0156">
      <w:pPr>
        <w:rPr>
          <w:rFonts w:asciiTheme="majorHAnsi" w:hAnsiTheme="majorHAnsi"/>
        </w:rPr>
      </w:pPr>
      <w:r w:rsidRPr="00467C54">
        <w:rPr>
          <w:rFonts w:asciiTheme="majorHAnsi" w:hAnsiTheme="majorHAnsi"/>
        </w:rPr>
        <w:t>So, by running the principal component analyses with and without the reversed items it appeared that in both cases the factors could best be accounted for by the categorical groupings of the items. In order to see if this pattern would hold in a slightly different analysis w</w:t>
      </w:r>
      <w:r w:rsidR="008F0FC3" w:rsidRPr="00467C54">
        <w:rPr>
          <w:rFonts w:asciiTheme="majorHAnsi" w:hAnsiTheme="majorHAnsi"/>
        </w:rPr>
        <w:t xml:space="preserve">e ran a </w:t>
      </w:r>
      <w:r w:rsidR="00B971C1" w:rsidRPr="00467C54">
        <w:rPr>
          <w:rFonts w:asciiTheme="majorHAnsi" w:hAnsiTheme="majorHAnsi"/>
        </w:rPr>
        <w:t>third</w:t>
      </w:r>
      <w:r w:rsidR="008F0FC3" w:rsidRPr="00467C54">
        <w:rPr>
          <w:rFonts w:asciiTheme="majorHAnsi" w:hAnsiTheme="majorHAnsi"/>
        </w:rPr>
        <w:t xml:space="preserve"> principal component analysis </w:t>
      </w:r>
      <w:r w:rsidRPr="00467C54">
        <w:rPr>
          <w:rFonts w:asciiTheme="majorHAnsi" w:hAnsiTheme="majorHAnsi"/>
        </w:rPr>
        <w:t xml:space="preserve">with all items included </w:t>
      </w:r>
      <w:r w:rsidR="008F0FC3" w:rsidRPr="00467C54">
        <w:rPr>
          <w:rFonts w:asciiTheme="majorHAnsi" w:hAnsiTheme="majorHAnsi"/>
        </w:rPr>
        <w:t xml:space="preserve">but this time </w:t>
      </w:r>
      <w:r w:rsidR="00F454B1" w:rsidRPr="00467C54">
        <w:rPr>
          <w:rFonts w:asciiTheme="majorHAnsi" w:hAnsiTheme="majorHAnsi"/>
        </w:rPr>
        <w:t xml:space="preserve">we </w:t>
      </w:r>
      <w:r w:rsidR="008F0FC3" w:rsidRPr="00467C54">
        <w:rPr>
          <w:rFonts w:asciiTheme="majorHAnsi" w:hAnsiTheme="majorHAnsi"/>
        </w:rPr>
        <w:t xml:space="preserve">fixed the factors at five. The rationale was </w:t>
      </w:r>
      <w:r w:rsidRPr="00467C54">
        <w:rPr>
          <w:rFonts w:asciiTheme="majorHAnsi" w:hAnsiTheme="majorHAnsi"/>
        </w:rPr>
        <w:t>to remove the sixth factor from the initial analysis. Recall this only accounted for 3.5% variance and had an eigenvalue just greater than 1 (1.003)</w:t>
      </w:r>
      <w:r w:rsidR="000B3AAF" w:rsidRPr="00467C54">
        <w:rPr>
          <w:rFonts w:asciiTheme="majorHAnsi" w:hAnsiTheme="majorHAnsi"/>
        </w:rPr>
        <w:t>. Again, coefficients below 0.4</w:t>
      </w:r>
      <w:r w:rsidR="008F0FC3" w:rsidRPr="00467C54">
        <w:rPr>
          <w:rFonts w:asciiTheme="majorHAnsi" w:hAnsiTheme="majorHAnsi"/>
        </w:rPr>
        <w:t xml:space="preserve"> were suppressed. </w:t>
      </w:r>
      <w:r w:rsidR="005E6C83" w:rsidRPr="00467C54">
        <w:rPr>
          <w:rFonts w:asciiTheme="majorHAnsi" w:hAnsiTheme="majorHAnsi"/>
        </w:rPr>
        <w:t>This solution showed identical factor item relationships to the previous analysis with the exception that factors one and two were swopped round. Otherwise the pattern was identical, with the addition of a fifth factor entailing solely the reversed items</w:t>
      </w:r>
      <w:r w:rsidR="000A4699" w:rsidRPr="00467C54">
        <w:rPr>
          <w:rFonts w:asciiTheme="majorHAnsi" w:hAnsiTheme="majorHAnsi"/>
        </w:rPr>
        <w:t xml:space="preserve">. Solution and figure are also </w:t>
      </w:r>
      <w:r w:rsidR="004E0CB7" w:rsidRPr="00467C54">
        <w:rPr>
          <w:rFonts w:asciiTheme="majorHAnsi" w:hAnsiTheme="majorHAnsi"/>
        </w:rPr>
        <w:t>available on request</w:t>
      </w:r>
    </w:p>
    <w:p w:rsidR="005E6C83" w:rsidRPr="00467C54" w:rsidRDefault="005E6C83" w:rsidP="005A0156">
      <w:pPr>
        <w:rPr>
          <w:rFonts w:asciiTheme="majorHAnsi" w:hAnsiTheme="majorHAnsi"/>
        </w:rPr>
      </w:pPr>
    </w:p>
    <w:p w:rsidR="00311787" w:rsidRPr="00467C54" w:rsidRDefault="00545197" w:rsidP="005A0156">
      <w:pPr>
        <w:rPr>
          <w:rFonts w:asciiTheme="majorHAnsi" w:hAnsiTheme="majorHAnsi"/>
        </w:rPr>
      </w:pPr>
      <w:r w:rsidRPr="00467C54">
        <w:rPr>
          <w:rFonts w:asciiTheme="majorHAnsi" w:hAnsiTheme="majorHAnsi"/>
        </w:rPr>
        <w:t>In summary</w:t>
      </w:r>
      <w:r w:rsidR="005E6C83" w:rsidRPr="00467C54">
        <w:rPr>
          <w:rFonts w:asciiTheme="majorHAnsi" w:hAnsiTheme="majorHAnsi"/>
        </w:rPr>
        <w:t xml:space="preserve"> then</w:t>
      </w:r>
      <w:r w:rsidRPr="00467C54">
        <w:rPr>
          <w:rFonts w:asciiTheme="majorHAnsi" w:hAnsiTheme="majorHAnsi"/>
        </w:rPr>
        <w:t xml:space="preserve">, the factor interpretation is largely consistent </w:t>
      </w:r>
      <w:r w:rsidR="00121A8D" w:rsidRPr="00467C54">
        <w:rPr>
          <w:rFonts w:asciiTheme="majorHAnsi" w:hAnsiTheme="majorHAnsi"/>
        </w:rPr>
        <w:t xml:space="preserve">with the </w:t>
      </w:r>
      <w:r w:rsidR="005E6C83" w:rsidRPr="00467C54">
        <w:rPr>
          <w:rFonts w:asciiTheme="majorHAnsi" w:hAnsiTheme="majorHAnsi"/>
        </w:rPr>
        <w:t>item grouping within the questionnaire</w:t>
      </w:r>
      <w:r w:rsidR="00121A8D" w:rsidRPr="00467C54">
        <w:rPr>
          <w:rFonts w:asciiTheme="majorHAnsi" w:hAnsiTheme="majorHAnsi"/>
        </w:rPr>
        <w:t xml:space="preserve">. </w:t>
      </w:r>
      <w:r w:rsidR="00311787" w:rsidRPr="00467C54">
        <w:rPr>
          <w:rFonts w:asciiTheme="majorHAnsi" w:hAnsiTheme="majorHAnsi"/>
        </w:rPr>
        <w:t xml:space="preserve">In a sense this means that these patterns of responding are logical. However, this conclusion would be more robust if the items had been spread out throughout the questionnaire instead of being grouped together, as the possibility cannot be </w:t>
      </w:r>
      <w:r w:rsidR="00F454B1" w:rsidRPr="00467C54">
        <w:rPr>
          <w:rFonts w:asciiTheme="majorHAnsi" w:hAnsiTheme="majorHAnsi"/>
        </w:rPr>
        <w:t>excluded that these patterns could</w:t>
      </w:r>
      <w:r w:rsidR="00311787" w:rsidRPr="00467C54">
        <w:rPr>
          <w:rFonts w:asciiTheme="majorHAnsi" w:hAnsiTheme="majorHAnsi"/>
        </w:rPr>
        <w:t xml:space="preserve"> be explained by individuals merely ticking the same boxes on each screen. The project team may wish to consider ungrouping these items to see whether the pattern still holds in future samples.</w:t>
      </w:r>
    </w:p>
    <w:p w:rsidR="00311787" w:rsidRPr="00467C54" w:rsidRDefault="00311787" w:rsidP="005A0156">
      <w:pPr>
        <w:rPr>
          <w:rFonts w:asciiTheme="majorHAnsi" w:hAnsiTheme="majorHAnsi"/>
        </w:rPr>
      </w:pPr>
    </w:p>
    <w:p w:rsidR="00545197" w:rsidRPr="00467C54" w:rsidRDefault="00311787" w:rsidP="005A0156">
      <w:pPr>
        <w:rPr>
          <w:rFonts w:asciiTheme="majorHAnsi" w:hAnsiTheme="majorHAnsi"/>
        </w:rPr>
      </w:pPr>
      <w:r w:rsidRPr="00467C54">
        <w:rPr>
          <w:rFonts w:asciiTheme="majorHAnsi" w:hAnsiTheme="majorHAnsi"/>
        </w:rPr>
        <w:t xml:space="preserve">There is also the issue of the reversed items. They did not appear to be answered particularly illogically but still appeared discordant with the pattern seen elsewhere. For example we would expect to find a negative association between item 4 and the factor that accounts for all the other items in that grouping (items 2 to 12) if the factors can be explained by the place of the items within the questionnaire as a whole. In actuality it is best accounted for by association with factor five in the first PCA, and by association with the other reversed items (16 &amp; 22) in the fixed factor PCA. </w:t>
      </w:r>
      <w:r w:rsidR="00121A8D" w:rsidRPr="00467C54">
        <w:rPr>
          <w:rFonts w:asciiTheme="majorHAnsi" w:hAnsiTheme="majorHAnsi"/>
        </w:rPr>
        <w:t xml:space="preserve">The reversed items </w:t>
      </w:r>
      <w:r w:rsidR="008417D8" w:rsidRPr="00467C54">
        <w:rPr>
          <w:rFonts w:asciiTheme="majorHAnsi" w:hAnsiTheme="majorHAnsi"/>
        </w:rPr>
        <w:t>therefore blur rather than add</w:t>
      </w:r>
      <w:r w:rsidR="00121A8D" w:rsidRPr="00467C54">
        <w:rPr>
          <w:rFonts w:asciiTheme="majorHAnsi" w:hAnsiTheme="majorHAnsi"/>
        </w:rPr>
        <w:t xml:space="preserve"> clarity</w:t>
      </w:r>
      <w:r w:rsidR="00545197" w:rsidRPr="00467C54">
        <w:rPr>
          <w:rFonts w:asciiTheme="majorHAnsi" w:hAnsiTheme="majorHAnsi"/>
        </w:rPr>
        <w:t>.</w:t>
      </w:r>
      <w:r w:rsidR="00121A8D" w:rsidRPr="00467C54">
        <w:rPr>
          <w:rFonts w:asciiTheme="majorHAnsi" w:hAnsiTheme="majorHAnsi"/>
        </w:rPr>
        <w:t xml:space="preserve"> This will be </w:t>
      </w:r>
      <w:r w:rsidR="00D3773F" w:rsidRPr="00467C54">
        <w:rPr>
          <w:rFonts w:asciiTheme="majorHAnsi" w:hAnsiTheme="majorHAnsi"/>
        </w:rPr>
        <w:t>explained</w:t>
      </w:r>
      <w:r w:rsidR="000F3EAF" w:rsidRPr="00467C54">
        <w:rPr>
          <w:rFonts w:asciiTheme="majorHAnsi" w:hAnsiTheme="majorHAnsi"/>
        </w:rPr>
        <w:t xml:space="preserve"> in the Rasch analysis next</w:t>
      </w:r>
      <w:r w:rsidR="00121A8D" w:rsidRPr="00467C54">
        <w:rPr>
          <w:rFonts w:asciiTheme="majorHAnsi" w:hAnsiTheme="majorHAnsi"/>
        </w:rPr>
        <w:t>.</w:t>
      </w:r>
      <w:r w:rsidR="0082147B" w:rsidRPr="00467C54">
        <w:rPr>
          <w:rFonts w:asciiTheme="majorHAnsi" w:hAnsiTheme="majorHAnsi"/>
        </w:rPr>
        <w:t xml:space="preserve"> But to summarise, the factor structure in this sample can be best accounted for by four factors:</w:t>
      </w:r>
    </w:p>
    <w:p w:rsidR="0082147B" w:rsidRPr="00467C54" w:rsidRDefault="0082147B" w:rsidP="005A0156">
      <w:pPr>
        <w:rPr>
          <w:rFonts w:asciiTheme="majorHAnsi" w:hAnsiTheme="majorHAnsi"/>
        </w:rPr>
      </w:pPr>
    </w:p>
    <w:p w:rsidR="0082147B" w:rsidRPr="00467C54" w:rsidRDefault="0082147B" w:rsidP="005A0156">
      <w:pPr>
        <w:pStyle w:val="ListParagraph"/>
        <w:numPr>
          <w:ilvl w:val="0"/>
          <w:numId w:val="27"/>
        </w:numPr>
        <w:rPr>
          <w:rFonts w:asciiTheme="majorHAnsi" w:hAnsiTheme="majorHAnsi"/>
        </w:rPr>
      </w:pPr>
      <w:r w:rsidRPr="00467C54">
        <w:rPr>
          <w:rFonts w:asciiTheme="majorHAnsi" w:hAnsiTheme="majorHAnsi"/>
        </w:rPr>
        <w:t>My experience as an individual</w:t>
      </w:r>
    </w:p>
    <w:p w:rsidR="0082147B" w:rsidRPr="00467C54" w:rsidRDefault="0082147B" w:rsidP="005A0156">
      <w:pPr>
        <w:pStyle w:val="ListParagraph"/>
        <w:numPr>
          <w:ilvl w:val="0"/>
          <w:numId w:val="27"/>
        </w:numPr>
        <w:rPr>
          <w:rFonts w:asciiTheme="majorHAnsi" w:hAnsiTheme="majorHAnsi"/>
        </w:rPr>
      </w:pPr>
      <w:r w:rsidRPr="00467C54">
        <w:rPr>
          <w:rFonts w:asciiTheme="majorHAnsi" w:hAnsiTheme="majorHAnsi"/>
        </w:rPr>
        <w:t>My experience with my direct line manager</w:t>
      </w:r>
    </w:p>
    <w:p w:rsidR="0082147B" w:rsidRPr="00467C54" w:rsidRDefault="0082147B" w:rsidP="005A0156">
      <w:pPr>
        <w:pStyle w:val="ListParagraph"/>
        <w:numPr>
          <w:ilvl w:val="0"/>
          <w:numId w:val="27"/>
        </w:numPr>
        <w:rPr>
          <w:rFonts w:asciiTheme="majorHAnsi" w:hAnsiTheme="majorHAnsi"/>
        </w:rPr>
      </w:pPr>
      <w:r w:rsidRPr="00467C54">
        <w:rPr>
          <w:rFonts w:asciiTheme="majorHAnsi" w:hAnsiTheme="majorHAnsi"/>
        </w:rPr>
        <w:t>My experience with my team</w:t>
      </w:r>
    </w:p>
    <w:p w:rsidR="0082147B" w:rsidRPr="00467C54" w:rsidRDefault="0082147B" w:rsidP="005A0156">
      <w:pPr>
        <w:pStyle w:val="ListParagraph"/>
        <w:numPr>
          <w:ilvl w:val="0"/>
          <w:numId w:val="27"/>
        </w:numPr>
        <w:rPr>
          <w:rFonts w:asciiTheme="majorHAnsi" w:hAnsiTheme="majorHAnsi"/>
        </w:rPr>
      </w:pPr>
      <w:r w:rsidRPr="00467C54">
        <w:rPr>
          <w:rFonts w:asciiTheme="majorHAnsi" w:hAnsiTheme="majorHAnsi"/>
        </w:rPr>
        <w:t>My experience with my organisation</w:t>
      </w:r>
    </w:p>
    <w:p w:rsidR="0082147B" w:rsidRPr="00467C54" w:rsidRDefault="0082147B" w:rsidP="005A0156">
      <w:pPr>
        <w:rPr>
          <w:rFonts w:asciiTheme="majorHAnsi" w:hAnsiTheme="majorHAnsi"/>
        </w:rPr>
      </w:pPr>
    </w:p>
    <w:p w:rsidR="000C2FA8" w:rsidRPr="00467C54" w:rsidRDefault="0082147B" w:rsidP="005A0156">
      <w:pPr>
        <w:rPr>
          <w:rFonts w:asciiTheme="majorHAnsi" w:hAnsiTheme="majorHAnsi" w:cs="Times New Roman"/>
          <w:sz w:val="24"/>
          <w:szCs w:val="24"/>
        </w:rPr>
      </w:pPr>
      <w:r w:rsidRPr="00467C54">
        <w:rPr>
          <w:rFonts w:asciiTheme="majorHAnsi" w:hAnsiTheme="majorHAnsi"/>
        </w:rPr>
        <w:t xml:space="preserve">The circularity of this interpretation could be viewed as a concern. </w:t>
      </w:r>
      <w:r w:rsidR="00CD2052" w:rsidRPr="00467C54">
        <w:rPr>
          <w:rFonts w:asciiTheme="majorHAnsi" w:hAnsiTheme="majorHAnsi"/>
        </w:rPr>
        <w:t>It could simply mean that respondents had not really differentiated between items in any particular section</w:t>
      </w:r>
      <w:r w:rsidR="008A18EA" w:rsidRPr="00467C54">
        <w:rPr>
          <w:rFonts w:asciiTheme="majorHAnsi" w:hAnsiTheme="majorHAnsi"/>
        </w:rPr>
        <w:t xml:space="preserve"> and answered them all identically</w:t>
      </w:r>
      <w:r w:rsidR="00CD2052" w:rsidRPr="00467C54">
        <w:rPr>
          <w:rFonts w:asciiTheme="majorHAnsi" w:hAnsiTheme="majorHAnsi"/>
        </w:rPr>
        <w:t xml:space="preserve">. </w:t>
      </w:r>
      <w:r w:rsidR="00C17573" w:rsidRPr="00467C54">
        <w:rPr>
          <w:rFonts w:asciiTheme="majorHAnsi" w:hAnsiTheme="majorHAnsi"/>
        </w:rPr>
        <w:t xml:space="preserve">In order to </w:t>
      </w:r>
      <w:r w:rsidR="00CD2052" w:rsidRPr="00467C54">
        <w:rPr>
          <w:rFonts w:asciiTheme="majorHAnsi" w:hAnsiTheme="majorHAnsi"/>
        </w:rPr>
        <w:t>examine this hypothesis we went back to the raw data and checked for these patterns. We used heat maps in excel to easily identify any response repetition. Whilst there were clearly a few instances of this it was not routine. A</w:t>
      </w:r>
      <w:r w:rsidR="00F920ED" w:rsidRPr="00467C54">
        <w:rPr>
          <w:rFonts w:asciiTheme="majorHAnsi" w:hAnsiTheme="majorHAnsi"/>
        </w:rPr>
        <w:t xml:space="preserve">lso, as will be shown in the Rasch analysis each individual item within these sections contributes something unique to the questionnaire (see </w:t>
      </w:r>
      <w:r w:rsidR="00D3773F" w:rsidRPr="00467C54">
        <w:rPr>
          <w:rFonts w:asciiTheme="majorHAnsi" w:hAnsiTheme="majorHAnsi"/>
        </w:rPr>
        <w:t xml:space="preserve">table 2 and </w:t>
      </w:r>
      <w:r w:rsidR="00F920ED" w:rsidRPr="00467C54">
        <w:rPr>
          <w:rFonts w:asciiTheme="majorHAnsi" w:hAnsiTheme="majorHAnsi"/>
        </w:rPr>
        <w:t xml:space="preserve">figure </w:t>
      </w:r>
      <w:r w:rsidR="00D3773F" w:rsidRPr="00467C54">
        <w:rPr>
          <w:rFonts w:asciiTheme="majorHAnsi" w:hAnsiTheme="majorHAnsi"/>
        </w:rPr>
        <w:t>11</w:t>
      </w:r>
      <w:r w:rsidR="00F920ED" w:rsidRPr="00467C54">
        <w:rPr>
          <w:rFonts w:asciiTheme="majorHAnsi" w:hAnsiTheme="majorHAnsi"/>
        </w:rPr>
        <w:t>). This would not be the case if all the questions had been answered in the same manner. A more</w:t>
      </w:r>
      <w:r w:rsidR="00CD2052" w:rsidRPr="00467C54">
        <w:rPr>
          <w:rFonts w:asciiTheme="majorHAnsi" w:hAnsiTheme="majorHAnsi"/>
        </w:rPr>
        <w:t xml:space="preserve"> rational </w:t>
      </w:r>
      <w:r w:rsidR="00956860" w:rsidRPr="00467C54">
        <w:rPr>
          <w:rFonts w:asciiTheme="majorHAnsi" w:hAnsiTheme="majorHAnsi"/>
        </w:rPr>
        <w:t>explanation</w:t>
      </w:r>
      <w:r w:rsidR="00CD2052" w:rsidRPr="00467C54">
        <w:rPr>
          <w:rFonts w:asciiTheme="majorHAnsi" w:hAnsiTheme="majorHAnsi"/>
        </w:rPr>
        <w:t xml:space="preserve"> therefore has to </w:t>
      </w:r>
      <w:r w:rsidR="00956860" w:rsidRPr="00467C54">
        <w:rPr>
          <w:rFonts w:asciiTheme="majorHAnsi" w:hAnsiTheme="majorHAnsi"/>
        </w:rPr>
        <w:t>account for population variance</w:t>
      </w:r>
      <w:r w:rsidR="00141D9D" w:rsidRPr="00467C54">
        <w:rPr>
          <w:rFonts w:asciiTheme="majorHAnsi" w:hAnsiTheme="majorHAnsi"/>
        </w:rPr>
        <w:t xml:space="preserve">, which adds credibility to the factor analysis </w:t>
      </w:r>
      <w:r w:rsidR="00A16271" w:rsidRPr="00467C54">
        <w:rPr>
          <w:rFonts w:asciiTheme="majorHAnsi" w:hAnsiTheme="majorHAnsi"/>
        </w:rPr>
        <w:t xml:space="preserve">interpretation </w:t>
      </w:r>
      <w:r w:rsidR="00141D9D" w:rsidRPr="00467C54">
        <w:rPr>
          <w:rFonts w:asciiTheme="majorHAnsi" w:hAnsiTheme="majorHAnsi"/>
        </w:rPr>
        <w:t>being a function of the intended measure rather than an anomaly of scoring groupings.</w:t>
      </w:r>
      <w:r w:rsidR="00F920ED" w:rsidRPr="00467C54">
        <w:rPr>
          <w:rFonts w:asciiTheme="majorHAnsi" w:hAnsiTheme="majorHAnsi"/>
        </w:rPr>
        <w:t xml:space="preserve"> The fact that</w:t>
      </w:r>
      <w:r w:rsidRPr="00467C54">
        <w:rPr>
          <w:rFonts w:asciiTheme="majorHAnsi" w:hAnsiTheme="majorHAnsi"/>
        </w:rPr>
        <w:t xml:space="preserve"> the questionnaire has been built from the bottom up by staff and the literature </w:t>
      </w:r>
      <w:r w:rsidR="00F920ED" w:rsidRPr="00467C54">
        <w:rPr>
          <w:rFonts w:asciiTheme="majorHAnsi" w:hAnsiTheme="majorHAnsi"/>
        </w:rPr>
        <w:t>to measure these specific aspects suggests the questionnaire is measuring exactly what it was designed to measure.</w:t>
      </w:r>
      <w:r w:rsidRPr="00467C54">
        <w:rPr>
          <w:rFonts w:asciiTheme="majorHAnsi" w:hAnsiTheme="majorHAnsi"/>
        </w:rPr>
        <w:t xml:space="preserve"> </w:t>
      </w:r>
    </w:p>
    <w:p w:rsidR="000B3AAF" w:rsidRPr="00467C54" w:rsidRDefault="000B3AAF" w:rsidP="005A0156">
      <w:pPr>
        <w:autoSpaceDE w:val="0"/>
        <w:autoSpaceDN w:val="0"/>
        <w:adjustRightInd w:val="0"/>
        <w:rPr>
          <w:rFonts w:asciiTheme="majorHAnsi" w:hAnsiTheme="majorHAnsi" w:cs="Times New Roman"/>
          <w:sz w:val="24"/>
          <w:szCs w:val="24"/>
        </w:rPr>
      </w:pPr>
    </w:p>
    <w:p w:rsidR="001356EB" w:rsidRPr="00467C54" w:rsidRDefault="001356EB" w:rsidP="005A0156">
      <w:pPr>
        <w:rPr>
          <w:rFonts w:asciiTheme="majorHAnsi" w:hAnsiTheme="majorHAnsi"/>
        </w:rPr>
        <w:sectPr w:rsidR="001356EB" w:rsidRPr="00467C54" w:rsidSect="000C2FA8">
          <w:pgSz w:w="11906" w:h="16838"/>
          <w:pgMar w:top="1440" w:right="1440" w:bottom="1440" w:left="1440" w:header="708" w:footer="708" w:gutter="0"/>
          <w:cols w:space="708"/>
          <w:docGrid w:linePitch="360"/>
        </w:sectPr>
      </w:pPr>
    </w:p>
    <w:p w:rsidR="001356EB" w:rsidRPr="00467C54" w:rsidRDefault="001356EB" w:rsidP="005A0156">
      <w:pPr>
        <w:autoSpaceDE w:val="0"/>
        <w:autoSpaceDN w:val="0"/>
        <w:adjustRightInd w:val="0"/>
        <w:rPr>
          <w:rFonts w:asciiTheme="majorHAnsi" w:hAnsiTheme="majorHAnsi" w:cs="Times New Roman"/>
          <w:sz w:val="24"/>
          <w:szCs w:val="24"/>
        </w:rPr>
      </w:pPr>
    </w:p>
    <w:tbl>
      <w:tblPr>
        <w:tblW w:w="14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44"/>
        <w:gridCol w:w="1099"/>
        <w:gridCol w:w="1099"/>
        <w:gridCol w:w="1099"/>
        <w:gridCol w:w="1099"/>
      </w:tblGrid>
      <w:tr w:rsidR="001356EB" w:rsidRPr="00467C54">
        <w:trPr>
          <w:cantSplit/>
        </w:trPr>
        <w:tc>
          <w:tcPr>
            <w:tcW w:w="14339" w:type="dxa"/>
            <w:gridSpan w:val="5"/>
            <w:tcBorders>
              <w:top w:val="nil"/>
              <w:left w:val="nil"/>
              <w:bottom w:val="nil"/>
              <w:right w:val="nil"/>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b/>
                <w:bCs/>
                <w:color w:val="000000"/>
                <w:sz w:val="18"/>
                <w:szCs w:val="18"/>
              </w:rPr>
              <w:t>Rotated Component Matrix</w:t>
            </w:r>
            <w:r w:rsidRPr="00467C54">
              <w:rPr>
                <w:rFonts w:asciiTheme="majorHAnsi" w:hAnsiTheme="majorHAnsi" w:cs="Arial"/>
                <w:b/>
                <w:bCs/>
                <w:color w:val="000000"/>
                <w:sz w:val="18"/>
                <w:szCs w:val="18"/>
                <w:vertAlign w:val="superscript"/>
              </w:rPr>
              <w:t>a</w:t>
            </w:r>
          </w:p>
        </w:tc>
      </w:tr>
      <w:tr w:rsidR="001356EB" w:rsidRPr="00467C54">
        <w:trPr>
          <w:cantSplit/>
        </w:trPr>
        <w:tc>
          <w:tcPr>
            <w:tcW w:w="9943" w:type="dxa"/>
            <w:vMerge w:val="restart"/>
            <w:tcBorders>
              <w:top w:val="single" w:sz="16" w:space="0" w:color="000000"/>
              <w:left w:val="single" w:sz="16" w:space="0" w:color="000000"/>
              <w:bottom w:val="nil"/>
              <w:right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4396" w:type="dxa"/>
            <w:gridSpan w:val="4"/>
            <w:tcBorders>
              <w:top w:val="single" w:sz="16" w:space="0" w:color="000000"/>
              <w:left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Component</w:t>
            </w:r>
          </w:p>
        </w:tc>
      </w:tr>
      <w:tr w:rsidR="001356EB" w:rsidRPr="00467C54">
        <w:trPr>
          <w:cantSplit/>
        </w:trPr>
        <w:tc>
          <w:tcPr>
            <w:tcW w:w="9943" w:type="dxa"/>
            <w:vMerge/>
            <w:tcBorders>
              <w:top w:val="single" w:sz="16" w:space="0" w:color="000000"/>
              <w:left w:val="single" w:sz="16" w:space="0" w:color="000000"/>
              <w:bottom w:val="nil"/>
              <w:right w:val="single" w:sz="16" w:space="0" w:color="000000"/>
            </w:tcBorders>
            <w:shd w:val="clear" w:color="auto" w:fill="FFFFFF"/>
          </w:tcPr>
          <w:p w:rsidR="001356EB" w:rsidRPr="00467C54" w:rsidRDefault="001356EB" w:rsidP="005A0156">
            <w:pPr>
              <w:autoSpaceDE w:val="0"/>
              <w:autoSpaceDN w:val="0"/>
              <w:adjustRightInd w:val="0"/>
              <w:rPr>
                <w:rFonts w:asciiTheme="majorHAnsi" w:hAnsiTheme="majorHAnsi" w:cs="Arial"/>
                <w:color w:val="000000"/>
                <w:sz w:val="18"/>
                <w:szCs w:val="18"/>
              </w:rPr>
            </w:pPr>
          </w:p>
        </w:tc>
        <w:tc>
          <w:tcPr>
            <w:tcW w:w="1099" w:type="dxa"/>
            <w:tcBorders>
              <w:left w:val="single" w:sz="16" w:space="0" w:color="000000"/>
              <w:bottom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1</w:t>
            </w:r>
          </w:p>
        </w:tc>
        <w:tc>
          <w:tcPr>
            <w:tcW w:w="1099" w:type="dxa"/>
            <w:tcBorders>
              <w:bottom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2</w:t>
            </w:r>
          </w:p>
        </w:tc>
        <w:tc>
          <w:tcPr>
            <w:tcW w:w="1099" w:type="dxa"/>
            <w:tcBorders>
              <w:bottom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3</w:t>
            </w:r>
          </w:p>
        </w:tc>
        <w:tc>
          <w:tcPr>
            <w:tcW w:w="1099" w:type="dxa"/>
            <w:tcBorders>
              <w:bottom w:val="single" w:sz="16" w:space="0" w:color="000000"/>
              <w:right w:val="single" w:sz="16" w:space="0" w:color="000000"/>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4</w:t>
            </w:r>
          </w:p>
        </w:tc>
      </w:tr>
      <w:tr w:rsidR="001356EB" w:rsidRPr="00467C54">
        <w:trPr>
          <w:cantSplit/>
        </w:trPr>
        <w:tc>
          <w:tcPr>
            <w:tcW w:w="9943" w:type="dxa"/>
            <w:tcBorders>
              <w:top w:val="single" w:sz="16" w:space="0" w:color="000000"/>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clear what my duties and responsibilities are</w:t>
            </w:r>
          </w:p>
        </w:tc>
        <w:tc>
          <w:tcPr>
            <w:tcW w:w="1099" w:type="dxa"/>
            <w:tcBorders>
              <w:top w:val="single" w:sz="16" w:space="0" w:color="000000"/>
              <w:left w:val="single" w:sz="16" w:space="0" w:color="000000"/>
              <w:bottom w:val="nil"/>
            </w:tcBorders>
            <w:shd w:val="clear" w:color="auto" w:fill="FFFFFF"/>
          </w:tcPr>
          <w:p w:rsidR="001356EB" w:rsidRPr="00467C54" w:rsidRDefault="001356EB" w:rsidP="005A0156">
            <w:pPr>
              <w:autoSpaceDE w:val="0"/>
              <w:autoSpaceDN w:val="0"/>
              <w:adjustRightInd w:val="0"/>
              <w:rPr>
                <w:rFonts w:asciiTheme="majorHAnsi" w:hAnsiTheme="majorHAnsi" w:cs="Times New Roman"/>
                <w:sz w:val="24"/>
                <w:szCs w:val="24"/>
              </w:rPr>
            </w:pPr>
          </w:p>
        </w:tc>
        <w:tc>
          <w:tcPr>
            <w:tcW w:w="1099" w:type="dxa"/>
            <w:tcBorders>
              <w:top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.595</w:t>
            </w: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get the information I need to do my job well</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.588</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tcPr>
          <w:p w:rsidR="001356EB" w:rsidRPr="00467C54" w:rsidRDefault="001356EB" w:rsidP="005A0156">
            <w:pPr>
              <w:autoSpaceDE w:val="0"/>
              <w:autoSpaceDN w:val="0"/>
              <w:adjustRightInd w:val="0"/>
              <w:rPr>
                <w:rFonts w:asciiTheme="majorHAnsi" w:hAnsiTheme="majorHAnsi" w:cs="Times New Roman"/>
                <w:sz w:val="24"/>
                <w:szCs w:val="24"/>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given the time and resources to support my learning and growth</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.651</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confident my ideas and suggestions are listened to</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.693</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confident my ideas and suggestions are acted upon</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.720</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feel involved in decisions relating to my job</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.713</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treated with dignity and respect as an individual</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.601</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treated fairly and consistently</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.612</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get enough helpful feedback on how well I do my work</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.652</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feel appreciated for the work I do</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.643</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My work gives me a sense of achievement</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.432</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tcPr>
          <w:p w:rsidR="001356EB" w:rsidRPr="00467C54" w:rsidRDefault="001356EB" w:rsidP="005A0156">
            <w:pPr>
              <w:autoSpaceDE w:val="0"/>
              <w:autoSpaceDN w:val="0"/>
              <w:adjustRightInd w:val="0"/>
              <w:rPr>
                <w:rFonts w:asciiTheme="majorHAnsi" w:hAnsiTheme="majorHAnsi" w:cs="Times New Roman"/>
                <w:sz w:val="24"/>
                <w:szCs w:val="24"/>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feel my direct line manager cares about my health and wellbeing</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.820</w:t>
            </w: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My direct line manager is sufficiently approachable</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.853</w:t>
            </w: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have confidence and trust in my direct line manager</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.828</w:t>
            </w: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confident performance is managed well within my team</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.528</w:t>
            </w:r>
          </w:p>
        </w:tc>
        <w:tc>
          <w:tcPr>
            <w:tcW w:w="1099" w:type="dxa"/>
            <w:tcBorders>
              <w:top w:val="nil"/>
              <w:bottom w:val="nil"/>
              <w:right w:val="single" w:sz="16" w:space="0" w:color="000000"/>
            </w:tcBorders>
            <w:shd w:val="clear" w:color="auto" w:fill="FFFFFF"/>
          </w:tcPr>
          <w:p w:rsidR="001356EB" w:rsidRPr="00467C54" w:rsidRDefault="001356EB" w:rsidP="005A0156">
            <w:pPr>
              <w:autoSpaceDE w:val="0"/>
              <w:autoSpaceDN w:val="0"/>
              <w:adjustRightInd w:val="0"/>
              <w:rPr>
                <w:rFonts w:asciiTheme="majorHAnsi" w:hAnsiTheme="majorHAnsi" w:cs="Times New Roman"/>
                <w:sz w:val="24"/>
                <w:szCs w:val="24"/>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My team works well together</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.803</w:t>
            </w: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B971C1"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 xml:space="preserve">I would recommend </w:t>
            </w:r>
            <w:r w:rsidR="001356EB" w:rsidRPr="00467C54">
              <w:rPr>
                <w:rFonts w:asciiTheme="majorHAnsi" w:hAnsiTheme="majorHAnsi" w:cs="Arial"/>
                <w:color w:val="000000"/>
                <w:sz w:val="18"/>
                <w:szCs w:val="18"/>
              </w:rPr>
              <w:t>my team as a good one to be part of</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.769</w:t>
            </w: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understand how my role contributes to the goals of my organisation</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.434</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feel my organisation cares about my health and wellbeing</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.670</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have confidence and trust in senior managers responsible for the wider organisation</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.784</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feel involved in decisions relating to my organisation</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.737</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am confident performance is managed well within my organisation</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.786</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get the help and support I need from other teams and services within the organisation to do my job</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.647</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nil"/>
              <w:right w:val="single" w:sz="16" w:space="0" w:color="000000"/>
            </w:tcBorders>
            <w:shd w:val="clear" w:color="auto" w:fill="FFFFFF"/>
            <w:vAlign w:val="center"/>
          </w:tcPr>
          <w:p w:rsidR="001356EB" w:rsidRPr="00467C54" w:rsidRDefault="00B971C1"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 xml:space="preserve">I would recommend </w:t>
            </w:r>
            <w:r w:rsidR="001356EB" w:rsidRPr="00467C54">
              <w:rPr>
                <w:rFonts w:asciiTheme="majorHAnsi" w:hAnsiTheme="majorHAnsi" w:cs="Arial"/>
                <w:color w:val="000000"/>
                <w:sz w:val="18"/>
                <w:szCs w:val="18"/>
              </w:rPr>
              <w:t>my organisation as a good place to work</w:t>
            </w:r>
          </w:p>
        </w:tc>
        <w:tc>
          <w:tcPr>
            <w:tcW w:w="1099" w:type="dxa"/>
            <w:tcBorders>
              <w:top w:val="nil"/>
              <w:left w:val="single" w:sz="16" w:space="0" w:color="000000"/>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.707</w:t>
            </w:r>
          </w:p>
        </w:tc>
        <w:tc>
          <w:tcPr>
            <w:tcW w:w="1099" w:type="dxa"/>
            <w:tcBorders>
              <w:top w:val="nil"/>
              <w:bottom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nil"/>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9943" w:type="dxa"/>
            <w:tcBorders>
              <w:top w:val="nil"/>
              <w:left w:val="single" w:sz="16" w:space="0" w:color="000000"/>
              <w:bottom w:val="single" w:sz="16" w:space="0" w:color="000000"/>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I would be happy for a friend or relative to access services within my organisation</w:t>
            </w:r>
          </w:p>
        </w:tc>
        <w:tc>
          <w:tcPr>
            <w:tcW w:w="1099" w:type="dxa"/>
            <w:tcBorders>
              <w:top w:val="nil"/>
              <w:left w:val="single" w:sz="16" w:space="0" w:color="000000"/>
              <w:bottom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.626</w:t>
            </w:r>
          </w:p>
        </w:tc>
        <w:tc>
          <w:tcPr>
            <w:tcW w:w="1099" w:type="dxa"/>
            <w:tcBorders>
              <w:top w:val="nil"/>
              <w:bottom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c>
          <w:tcPr>
            <w:tcW w:w="1099" w:type="dxa"/>
            <w:tcBorders>
              <w:top w:val="nil"/>
              <w:bottom w:val="single" w:sz="16" w:space="0" w:color="000000"/>
              <w:right w:val="single" w:sz="16" w:space="0" w:color="000000"/>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p>
        </w:tc>
      </w:tr>
      <w:tr w:rsidR="001356EB" w:rsidRPr="00467C54">
        <w:trPr>
          <w:cantSplit/>
        </w:trPr>
        <w:tc>
          <w:tcPr>
            <w:tcW w:w="14339" w:type="dxa"/>
            <w:gridSpan w:val="5"/>
            <w:tcBorders>
              <w:top w:val="nil"/>
              <w:left w:val="nil"/>
              <w:bottom w:val="nil"/>
              <w:right w:val="nil"/>
            </w:tcBorders>
            <w:shd w:val="clear" w:color="auto" w:fill="FFFFFF"/>
            <w:vAlign w:val="center"/>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 xml:space="preserve">Extraction Method: Principal Component Analysis. </w:t>
            </w:r>
          </w:p>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 xml:space="preserve"> Rotation Method: Varimax with Kaiser Normalization.</w:t>
            </w:r>
          </w:p>
        </w:tc>
      </w:tr>
      <w:tr w:rsidR="001356EB" w:rsidRPr="00467C54">
        <w:trPr>
          <w:cantSplit/>
        </w:trPr>
        <w:tc>
          <w:tcPr>
            <w:tcW w:w="14339" w:type="dxa"/>
            <w:gridSpan w:val="5"/>
            <w:tcBorders>
              <w:top w:val="nil"/>
              <w:left w:val="nil"/>
              <w:bottom w:val="nil"/>
              <w:right w:val="nil"/>
            </w:tcBorders>
            <w:shd w:val="clear" w:color="auto" w:fill="FFFFFF"/>
          </w:tcPr>
          <w:p w:rsidR="001356EB" w:rsidRPr="00467C54" w:rsidRDefault="001356EB" w:rsidP="005A0156">
            <w:pPr>
              <w:autoSpaceDE w:val="0"/>
              <w:autoSpaceDN w:val="0"/>
              <w:adjustRightInd w:val="0"/>
              <w:ind w:left="60" w:right="60"/>
              <w:rPr>
                <w:rFonts w:asciiTheme="majorHAnsi" w:hAnsiTheme="majorHAnsi" w:cs="Arial"/>
                <w:color w:val="000000"/>
                <w:sz w:val="18"/>
                <w:szCs w:val="18"/>
              </w:rPr>
            </w:pPr>
            <w:r w:rsidRPr="00467C54">
              <w:rPr>
                <w:rFonts w:asciiTheme="majorHAnsi" w:hAnsiTheme="majorHAnsi" w:cs="Arial"/>
                <w:color w:val="000000"/>
                <w:sz w:val="18"/>
                <w:szCs w:val="18"/>
              </w:rPr>
              <w:t>a. Rotation converged in 12 iterations.</w:t>
            </w:r>
          </w:p>
        </w:tc>
      </w:tr>
    </w:tbl>
    <w:p w:rsidR="001356EB" w:rsidRPr="00467C54" w:rsidRDefault="001356EB" w:rsidP="005A0156">
      <w:pPr>
        <w:autoSpaceDE w:val="0"/>
        <w:autoSpaceDN w:val="0"/>
        <w:adjustRightInd w:val="0"/>
        <w:spacing w:line="400" w:lineRule="atLeast"/>
        <w:rPr>
          <w:rFonts w:asciiTheme="majorHAnsi" w:hAnsiTheme="majorHAnsi" w:cs="Times New Roman"/>
          <w:sz w:val="24"/>
          <w:szCs w:val="24"/>
        </w:rPr>
      </w:pPr>
    </w:p>
    <w:p w:rsidR="001356EB" w:rsidRPr="00467C54" w:rsidRDefault="001356EB" w:rsidP="00B27D48">
      <w:pPr>
        <w:pStyle w:val="Heading4"/>
        <w:jc w:val="center"/>
        <w:sectPr w:rsidR="001356EB" w:rsidRPr="00467C54" w:rsidSect="001356EB">
          <w:pgSz w:w="16838" w:h="11906" w:orient="landscape"/>
          <w:pgMar w:top="1440" w:right="1440" w:bottom="1440" w:left="1440" w:header="708" w:footer="708" w:gutter="0"/>
          <w:cols w:space="708"/>
          <w:docGrid w:linePitch="360"/>
        </w:sectPr>
      </w:pPr>
      <w:bookmarkStart w:id="42" w:name="_Toc349398129"/>
      <w:bookmarkStart w:id="43" w:name="_Toc349398201"/>
      <w:bookmarkStart w:id="44" w:name="_Toc351130768"/>
      <w:r w:rsidRPr="00467C54">
        <w:t>Table</w:t>
      </w:r>
      <w:r w:rsidR="00866153" w:rsidRPr="00467C54">
        <w:t xml:space="preserve"> 1.</w:t>
      </w:r>
      <w:r w:rsidRPr="00467C54">
        <w:t xml:space="preserve"> </w:t>
      </w:r>
      <w:r w:rsidR="00866153" w:rsidRPr="00467C54">
        <w:t>P</w:t>
      </w:r>
      <w:r w:rsidR="00C01212" w:rsidRPr="00467C54">
        <w:t>rincipal component analysis with reversed items removed</w:t>
      </w:r>
      <w:bookmarkEnd w:id="42"/>
      <w:bookmarkEnd w:id="43"/>
      <w:bookmarkEnd w:id="44"/>
    </w:p>
    <w:p w:rsidR="00F95B7B" w:rsidRPr="00467C54" w:rsidRDefault="009028AB" w:rsidP="005A0156">
      <w:pPr>
        <w:rPr>
          <w:rFonts w:asciiTheme="majorHAnsi" w:hAnsiTheme="majorHAnsi"/>
        </w:rPr>
      </w:pPr>
      <w:r>
        <w:rPr>
          <w:rFonts w:asciiTheme="majorHAnsi" w:hAnsiTheme="majorHAnsi"/>
          <w:noProof/>
          <w:lang w:eastAsia="en-GB"/>
        </w:rPr>
        <w:drawing>
          <wp:inline distT="0" distB="0" distL="0" distR="0">
            <wp:extent cx="8206740" cy="784098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06740" cy="7840980"/>
                    </a:xfrm>
                    <a:prstGeom prst="rect">
                      <a:avLst/>
                    </a:prstGeom>
                    <a:noFill/>
                    <a:ln>
                      <a:noFill/>
                    </a:ln>
                  </pic:spPr>
                </pic:pic>
              </a:graphicData>
            </a:graphic>
          </wp:inline>
        </w:drawing>
      </w:r>
    </w:p>
    <w:p w:rsidR="00F95B7B" w:rsidRPr="00467C54" w:rsidRDefault="00F95B7B" w:rsidP="005A0156">
      <w:pPr>
        <w:rPr>
          <w:rFonts w:asciiTheme="majorHAnsi" w:hAnsiTheme="majorHAnsi"/>
        </w:rPr>
      </w:pPr>
    </w:p>
    <w:p w:rsidR="00F95B7B" w:rsidRPr="00467C54" w:rsidRDefault="00F95B7B" w:rsidP="00B27D48">
      <w:pPr>
        <w:pStyle w:val="Heading5"/>
        <w:jc w:val="center"/>
      </w:pPr>
      <w:bookmarkStart w:id="45" w:name="_Toc351020508"/>
      <w:r w:rsidRPr="00467C54">
        <w:t>Figure 8. Four-factor solution</w:t>
      </w:r>
      <w:bookmarkEnd w:id="45"/>
    </w:p>
    <w:p w:rsidR="00F95B7B" w:rsidRPr="00467C54" w:rsidRDefault="00F95B7B" w:rsidP="005A0156">
      <w:pPr>
        <w:rPr>
          <w:rStyle w:val="Heading3Char"/>
        </w:rPr>
      </w:pPr>
    </w:p>
    <w:p w:rsidR="00F95B7B" w:rsidRPr="00467C54" w:rsidRDefault="00F95B7B" w:rsidP="005A0156">
      <w:pPr>
        <w:rPr>
          <w:rStyle w:val="Heading3Char"/>
        </w:rPr>
      </w:pPr>
    </w:p>
    <w:p w:rsidR="00F95B7B" w:rsidRPr="00467C54" w:rsidRDefault="00F95B7B" w:rsidP="005A0156">
      <w:pPr>
        <w:rPr>
          <w:rStyle w:val="Heading3Char"/>
        </w:rPr>
      </w:pPr>
    </w:p>
    <w:p w:rsidR="00F95B7B" w:rsidRPr="00467C54" w:rsidRDefault="00F95B7B" w:rsidP="005A0156">
      <w:pPr>
        <w:rPr>
          <w:rStyle w:val="Heading3Char"/>
        </w:rPr>
      </w:pPr>
    </w:p>
    <w:p w:rsidR="003045C8" w:rsidRPr="00467C54" w:rsidRDefault="006E2061" w:rsidP="005A0156">
      <w:pPr>
        <w:rPr>
          <w:rFonts w:asciiTheme="majorHAnsi" w:hAnsiTheme="majorHAnsi" w:cstheme="minorHAnsi"/>
        </w:rPr>
      </w:pPr>
      <w:bookmarkStart w:id="46" w:name="_Toc351201885"/>
      <w:r w:rsidRPr="00467C54">
        <w:rPr>
          <w:rStyle w:val="Heading3Char"/>
        </w:rPr>
        <w:t xml:space="preserve">IRT &amp; </w:t>
      </w:r>
      <w:r w:rsidR="00A34412" w:rsidRPr="00467C54">
        <w:rPr>
          <w:rStyle w:val="Heading3Char"/>
        </w:rPr>
        <w:t>Rasch Analysis</w:t>
      </w:r>
      <w:bookmarkEnd w:id="46"/>
      <w:r w:rsidR="00DB2037" w:rsidRPr="00467C54">
        <w:rPr>
          <w:rFonts w:asciiTheme="majorHAnsi" w:hAnsiTheme="majorHAnsi" w:cstheme="minorHAnsi"/>
          <w:i/>
        </w:rPr>
        <w:t xml:space="preserve">. </w:t>
      </w:r>
    </w:p>
    <w:p w:rsidR="00DB2037" w:rsidRPr="00467C54" w:rsidRDefault="00DB2037" w:rsidP="005A0156">
      <w:pPr>
        <w:rPr>
          <w:rFonts w:asciiTheme="majorHAnsi" w:eastAsia="Times New Roman" w:hAnsiTheme="majorHAnsi"/>
        </w:rPr>
      </w:pPr>
    </w:p>
    <w:p w:rsidR="00DB2037" w:rsidRPr="00467C54" w:rsidRDefault="00DB2037" w:rsidP="005A0156">
      <w:pPr>
        <w:rPr>
          <w:rFonts w:asciiTheme="majorHAnsi" w:eastAsia="Times New Roman" w:hAnsiTheme="majorHAnsi"/>
        </w:rPr>
      </w:pPr>
      <w:r w:rsidRPr="00467C54">
        <w:rPr>
          <w:rFonts w:asciiTheme="majorHAnsi" w:eastAsia="Times New Roman" w:hAnsiTheme="majorHAnsi"/>
        </w:rPr>
        <w:t>Data were imported into WINSTEPS in a text fil</w:t>
      </w:r>
      <w:r w:rsidR="004E0B3B" w:rsidRPr="00467C54">
        <w:rPr>
          <w:rFonts w:asciiTheme="majorHAnsi" w:eastAsia="Times New Roman" w:hAnsiTheme="majorHAnsi"/>
        </w:rPr>
        <w:t>e in order to construct analysis of item difficulty and perso</w:t>
      </w:r>
      <w:r w:rsidR="00141D9D" w:rsidRPr="00467C54">
        <w:rPr>
          <w:rFonts w:asciiTheme="majorHAnsi" w:eastAsia="Times New Roman" w:hAnsiTheme="majorHAnsi"/>
        </w:rPr>
        <w:t>n ability. The purpose of this was to see which items we</w:t>
      </w:r>
      <w:r w:rsidR="004E0B3B" w:rsidRPr="00467C54">
        <w:rPr>
          <w:rFonts w:asciiTheme="majorHAnsi" w:eastAsia="Times New Roman" w:hAnsiTheme="majorHAnsi"/>
        </w:rPr>
        <w:t xml:space="preserve">re more difficult than others and to estimate the </w:t>
      </w:r>
      <w:r w:rsidR="00D24BBE" w:rsidRPr="00467C54">
        <w:rPr>
          <w:rFonts w:asciiTheme="majorHAnsi" w:eastAsia="Times New Roman" w:hAnsiTheme="majorHAnsi"/>
        </w:rPr>
        <w:t>comparable person ability range for the entire sample</w:t>
      </w:r>
      <w:r w:rsidR="004E0B3B" w:rsidRPr="00467C54">
        <w:rPr>
          <w:rFonts w:asciiTheme="majorHAnsi" w:eastAsia="Times New Roman" w:hAnsiTheme="majorHAnsi"/>
        </w:rPr>
        <w:t xml:space="preserve">. This can be illustrated by </w:t>
      </w:r>
      <w:r w:rsidR="00D24BBE" w:rsidRPr="00467C54">
        <w:rPr>
          <w:rFonts w:asciiTheme="majorHAnsi" w:eastAsia="Times New Roman" w:hAnsiTheme="majorHAnsi"/>
        </w:rPr>
        <w:t xml:space="preserve">constructing a person item map </w:t>
      </w:r>
      <w:r w:rsidR="004E0B3B" w:rsidRPr="00467C54">
        <w:rPr>
          <w:rFonts w:asciiTheme="majorHAnsi" w:eastAsia="Times New Roman" w:hAnsiTheme="majorHAnsi"/>
        </w:rPr>
        <w:t xml:space="preserve">within </w:t>
      </w:r>
      <w:r w:rsidR="00D24BBE" w:rsidRPr="00467C54">
        <w:rPr>
          <w:rFonts w:asciiTheme="majorHAnsi" w:eastAsia="Times New Roman" w:hAnsiTheme="majorHAnsi"/>
        </w:rPr>
        <w:t xml:space="preserve">WINSTEPS </w:t>
      </w:r>
      <w:r w:rsidR="004E0B3B" w:rsidRPr="00467C54">
        <w:rPr>
          <w:rFonts w:asciiTheme="majorHAnsi" w:eastAsia="Times New Roman" w:hAnsiTheme="majorHAnsi"/>
        </w:rPr>
        <w:t xml:space="preserve">as per figure </w:t>
      </w:r>
      <w:r w:rsidR="00866153" w:rsidRPr="00467C54">
        <w:rPr>
          <w:rFonts w:asciiTheme="majorHAnsi" w:eastAsia="Times New Roman" w:hAnsiTheme="majorHAnsi"/>
          <w:i/>
        </w:rPr>
        <w:t>9</w:t>
      </w:r>
      <w:r w:rsidR="004E0B3B" w:rsidRPr="00467C54">
        <w:rPr>
          <w:rFonts w:asciiTheme="majorHAnsi" w:eastAsia="Times New Roman" w:hAnsiTheme="majorHAnsi"/>
        </w:rPr>
        <w:t>.</w:t>
      </w:r>
    </w:p>
    <w:p w:rsidR="00C22AD4" w:rsidRPr="00467C54" w:rsidRDefault="00C22AD4" w:rsidP="005A0156">
      <w:pPr>
        <w:rPr>
          <w:rFonts w:asciiTheme="majorHAnsi" w:eastAsia="Times New Roman" w:hAnsiTheme="majorHAnsi"/>
        </w:rPr>
      </w:pP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Items  6 CATS     1.0.0</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Persons MAP OF Items</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&lt;more&gt;|&lt;rare&gt;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3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2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S|T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1      .#######  +  24</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16     4</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|S 23     25</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M|  10     3      6</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11     21     7</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26     27     5</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0      .#######  +M 17</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22</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S|  28     8      9</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12     15     18     2</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|S 13     19     20</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14</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-1            .# 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  1</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-2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-3                +</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&lt;less&gt;|&lt;frequ&gt;</w:t>
      </w:r>
    </w:p>
    <w:p w:rsidR="00467C54" w:rsidRPr="00913D64" w:rsidRDefault="00467C54" w:rsidP="00467C54">
      <w:pPr>
        <w:autoSpaceDE w:val="0"/>
        <w:autoSpaceDN w:val="0"/>
        <w:adjustRightInd w:val="0"/>
        <w:jc w:val="left"/>
        <w:rPr>
          <w:rFonts w:ascii="Courier New" w:hAnsi="Courier New" w:cs="Courier New"/>
          <w:sz w:val="18"/>
          <w:szCs w:val="18"/>
        </w:rPr>
      </w:pPr>
      <w:r w:rsidRPr="00913D64">
        <w:rPr>
          <w:rFonts w:ascii="Courier New" w:hAnsi="Courier New" w:cs="Courier New"/>
          <w:sz w:val="18"/>
          <w:szCs w:val="18"/>
        </w:rPr>
        <w:t xml:space="preserve"> EACH '#' IS 10.</w:t>
      </w:r>
    </w:p>
    <w:p w:rsidR="00C22AD4" w:rsidRPr="00467C54" w:rsidRDefault="00C22AD4" w:rsidP="005A0156">
      <w:pPr>
        <w:rPr>
          <w:rFonts w:asciiTheme="majorHAnsi" w:eastAsia="Times New Roman" w:hAnsiTheme="majorHAnsi"/>
        </w:rPr>
      </w:pPr>
    </w:p>
    <w:p w:rsidR="00DB2037" w:rsidRPr="00467C54" w:rsidRDefault="004E0B3B" w:rsidP="00B27D48">
      <w:pPr>
        <w:pStyle w:val="Heading5"/>
        <w:jc w:val="center"/>
      </w:pPr>
      <w:bookmarkStart w:id="47" w:name="_Toc349398130"/>
      <w:bookmarkStart w:id="48" w:name="_Toc349398202"/>
      <w:bookmarkStart w:id="49" w:name="_Toc351020509"/>
      <w:r w:rsidRPr="00467C54">
        <w:t xml:space="preserve">Figure </w:t>
      </w:r>
      <w:r w:rsidR="00866153" w:rsidRPr="00467C54">
        <w:t>9. Item person map</w:t>
      </w:r>
      <w:bookmarkEnd w:id="47"/>
      <w:bookmarkEnd w:id="48"/>
      <w:bookmarkEnd w:id="49"/>
    </w:p>
    <w:p w:rsidR="00DB2037" w:rsidRPr="00467C54" w:rsidRDefault="00DB2037" w:rsidP="00B27D48">
      <w:pPr>
        <w:autoSpaceDE w:val="0"/>
        <w:autoSpaceDN w:val="0"/>
        <w:adjustRightInd w:val="0"/>
        <w:jc w:val="center"/>
        <w:rPr>
          <w:rFonts w:asciiTheme="majorHAnsi" w:hAnsiTheme="majorHAnsi" w:cs="Courier New"/>
          <w:sz w:val="16"/>
          <w:szCs w:val="16"/>
        </w:rPr>
      </w:pPr>
    </w:p>
    <w:p w:rsidR="0025155A" w:rsidRPr="00467C54" w:rsidRDefault="00E758B0" w:rsidP="001D258F">
      <w:pPr>
        <w:rPr>
          <w:rFonts w:asciiTheme="majorHAnsi" w:hAnsiTheme="majorHAnsi" w:cstheme="minorHAnsi"/>
        </w:rPr>
      </w:pPr>
      <w:r w:rsidRPr="00467C54">
        <w:rPr>
          <w:rFonts w:asciiTheme="majorHAnsi" w:eastAsia="Times New Roman" w:hAnsiTheme="majorHAnsi"/>
        </w:rPr>
        <w:t xml:space="preserve">The vertical axis is scaled in logits, which in the Rasch model represent a standardised scale of difficulty such that the difference between -2 and -3 is equivalent to the difference in difficulty between +1 and +2 and so on. This scale also applies to person ability. </w:t>
      </w:r>
      <w:r w:rsidR="00866153" w:rsidRPr="00467C54">
        <w:rPr>
          <w:rFonts w:asciiTheme="majorHAnsi" w:hAnsiTheme="majorHAnsi" w:cstheme="minorHAnsi"/>
        </w:rPr>
        <w:t>F</w:t>
      </w:r>
      <w:r w:rsidRPr="00467C54">
        <w:rPr>
          <w:rFonts w:asciiTheme="majorHAnsi" w:hAnsiTheme="majorHAnsi" w:cstheme="minorHAnsi"/>
        </w:rPr>
        <w:t xml:space="preserve">igure </w:t>
      </w:r>
      <w:r w:rsidR="00866153" w:rsidRPr="00467C54">
        <w:rPr>
          <w:rFonts w:asciiTheme="majorHAnsi" w:hAnsiTheme="majorHAnsi" w:cstheme="minorHAnsi"/>
        </w:rPr>
        <w:t xml:space="preserve">9 </w:t>
      </w:r>
      <w:r w:rsidRPr="00467C54">
        <w:rPr>
          <w:rFonts w:asciiTheme="majorHAnsi" w:hAnsiTheme="majorHAnsi" w:cstheme="minorHAnsi"/>
        </w:rPr>
        <w:t xml:space="preserve">therefore </w:t>
      </w:r>
      <w:r w:rsidR="00D66818" w:rsidRPr="00467C54">
        <w:rPr>
          <w:rFonts w:asciiTheme="majorHAnsi" w:hAnsiTheme="majorHAnsi" w:cstheme="minorHAnsi"/>
        </w:rPr>
        <w:t>shows that the ite</w:t>
      </w:r>
      <w:r w:rsidR="0025155A" w:rsidRPr="00467C54">
        <w:rPr>
          <w:rFonts w:asciiTheme="majorHAnsi" w:hAnsiTheme="majorHAnsi" w:cstheme="minorHAnsi"/>
        </w:rPr>
        <w:t>m</w:t>
      </w:r>
      <w:r w:rsidR="005679DF" w:rsidRPr="00467C54">
        <w:rPr>
          <w:rFonts w:asciiTheme="majorHAnsi" w:hAnsiTheme="majorHAnsi" w:cstheme="minorHAnsi"/>
        </w:rPr>
        <w:t>s range in difficulty from -1.47</w:t>
      </w:r>
      <w:r w:rsidR="00D66818" w:rsidRPr="00467C54">
        <w:rPr>
          <w:rFonts w:asciiTheme="majorHAnsi" w:hAnsiTheme="majorHAnsi" w:cstheme="minorHAnsi"/>
        </w:rPr>
        <w:t xml:space="preserve"> (</w:t>
      </w:r>
      <w:r w:rsidR="00913D64" w:rsidRPr="00467C54">
        <w:rPr>
          <w:rFonts w:asciiTheme="majorHAnsi" w:hAnsiTheme="majorHAnsi" w:cstheme="minorHAnsi"/>
        </w:rPr>
        <w:t>relatively easy item 1) to +1</w:t>
      </w:r>
      <w:r w:rsidR="005679DF" w:rsidRPr="00467C54">
        <w:rPr>
          <w:rFonts w:asciiTheme="majorHAnsi" w:hAnsiTheme="majorHAnsi" w:cstheme="minorHAnsi"/>
        </w:rPr>
        <w:t>.06</w:t>
      </w:r>
      <w:r w:rsidR="00913D64" w:rsidRPr="00467C54">
        <w:rPr>
          <w:rFonts w:asciiTheme="majorHAnsi" w:hAnsiTheme="majorHAnsi" w:cstheme="minorHAnsi"/>
        </w:rPr>
        <w:t xml:space="preserve"> (relatively difficult item 24</w:t>
      </w:r>
      <w:r w:rsidR="00D66818" w:rsidRPr="00467C54">
        <w:rPr>
          <w:rFonts w:asciiTheme="majorHAnsi" w:hAnsiTheme="majorHAnsi" w:cstheme="minorHAnsi"/>
        </w:rPr>
        <w:t xml:space="preserve">). </w:t>
      </w:r>
      <w:r w:rsidR="00866153" w:rsidRPr="00467C54">
        <w:rPr>
          <w:rFonts w:asciiTheme="majorHAnsi" w:hAnsiTheme="majorHAnsi" w:cstheme="minorHAnsi"/>
        </w:rPr>
        <w:t>T</w:t>
      </w:r>
      <w:r w:rsidR="0025155A" w:rsidRPr="00467C54">
        <w:rPr>
          <w:rFonts w:asciiTheme="majorHAnsi" w:hAnsiTheme="majorHAnsi" w:cstheme="minorHAnsi"/>
        </w:rPr>
        <w:t xml:space="preserve">able </w:t>
      </w:r>
      <w:r w:rsidR="00866153" w:rsidRPr="00467C54">
        <w:rPr>
          <w:rFonts w:asciiTheme="majorHAnsi" w:hAnsiTheme="majorHAnsi" w:cstheme="minorHAnsi"/>
        </w:rPr>
        <w:t xml:space="preserve">2 </w:t>
      </w:r>
      <w:r w:rsidR="0025155A" w:rsidRPr="00467C54">
        <w:rPr>
          <w:rFonts w:asciiTheme="majorHAnsi" w:hAnsiTheme="majorHAnsi" w:cstheme="minorHAnsi"/>
        </w:rPr>
        <w:t>below shows item difficulty estimates by rank</w:t>
      </w:r>
      <w:r w:rsidR="00292113" w:rsidRPr="00467C54">
        <w:rPr>
          <w:rFonts w:asciiTheme="majorHAnsi" w:hAnsiTheme="majorHAnsi" w:cstheme="minorHAnsi"/>
        </w:rPr>
        <w:t xml:space="preserve">, with the most difficult </w:t>
      </w:r>
      <w:r w:rsidR="005679DF" w:rsidRPr="00467C54">
        <w:rPr>
          <w:rFonts w:asciiTheme="majorHAnsi" w:hAnsiTheme="majorHAnsi" w:cstheme="minorHAnsi"/>
        </w:rPr>
        <w:t xml:space="preserve">item </w:t>
      </w:r>
      <w:r w:rsidR="00292113" w:rsidRPr="00467C54">
        <w:rPr>
          <w:rFonts w:asciiTheme="majorHAnsi" w:hAnsiTheme="majorHAnsi" w:cstheme="minorHAnsi"/>
        </w:rPr>
        <w:t xml:space="preserve">at the </w:t>
      </w:r>
      <w:r w:rsidR="005679DF" w:rsidRPr="00467C54">
        <w:rPr>
          <w:rFonts w:asciiTheme="majorHAnsi" w:hAnsiTheme="majorHAnsi" w:cstheme="minorHAnsi"/>
        </w:rPr>
        <w:t>bottom</w:t>
      </w:r>
      <w:r w:rsidR="0025155A" w:rsidRPr="00467C54">
        <w:rPr>
          <w:rFonts w:asciiTheme="majorHAnsi" w:hAnsiTheme="majorHAnsi" w:cstheme="minorHAnsi"/>
        </w:rPr>
        <w:t>.</w:t>
      </w:r>
    </w:p>
    <w:tbl>
      <w:tblPr>
        <w:tblW w:w="9263" w:type="dxa"/>
        <w:tblInd w:w="96" w:type="dxa"/>
        <w:tblLook w:val="04A0" w:firstRow="1" w:lastRow="0" w:firstColumn="1" w:lastColumn="0" w:noHBand="0" w:noVBand="1"/>
      </w:tblPr>
      <w:tblGrid>
        <w:gridCol w:w="960"/>
        <w:gridCol w:w="6849"/>
        <w:gridCol w:w="1454"/>
      </w:tblGrid>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0"/>
                <w:szCs w:val="20"/>
                <w:lang w:eastAsia="en-GB"/>
              </w:rPr>
            </w:pPr>
            <w:r w:rsidRPr="00467C54">
              <w:rPr>
                <w:rFonts w:asciiTheme="majorHAnsi" w:eastAsia="Times New Roman" w:hAnsiTheme="majorHAnsi" w:cs="Calibri"/>
                <w:color w:val="000000"/>
                <w:sz w:val="20"/>
                <w:szCs w:val="20"/>
                <w:lang w:eastAsia="en-GB"/>
              </w:rPr>
              <w:t>Item</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theme="minorHAnsi"/>
                <w:color w:val="000000"/>
                <w:sz w:val="16"/>
                <w:szCs w:val="16"/>
                <w:lang w:eastAsia="en-GB"/>
              </w:rPr>
            </w:pP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0"/>
                <w:szCs w:val="20"/>
                <w:lang w:eastAsia="en-GB"/>
              </w:rPr>
            </w:pPr>
            <w:r w:rsidRPr="00467C54">
              <w:rPr>
                <w:rFonts w:asciiTheme="majorHAnsi" w:eastAsia="Times New Roman" w:hAnsiTheme="majorHAnsi" w:cs="Calibri"/>
                <w:color w:val="000000"/>
                <w:sz w:val="20"/>
                <w:szCs w:val="20"/>
                <w:lang w:eastAsia="en-GB"/>
              </w:rPr>
              <w:t>Item difficulty (easy to hard)</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am clear what my duties and responsibilities are</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-1.47</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14</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My direct line manager is sufficiently approachable</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-0.8</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20</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understand how my role contributes to the goals of my organisation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-0.59</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19</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would recommend my team as a good one to be part of</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-0.55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13</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feel my direct line manager cares about my health and wellbeing</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-0.52</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get the information I need to do my job well</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12</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My work gives me a sense of achievement</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-0.47</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18</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My team works well together</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-0.44</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15</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have confidence and trust in my direct line manager</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-0.43</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8</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am treated with dignity and respect as an individual</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-0.35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9</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am treated fairly and consistently</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-0.23</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28</w:t>
            </w:r>
          </w:p>
        </w:tc>
        <w:tc>
          <w:tcPr>
            <w:tcW w:w="6849" w:type="dxa"/>
            <w:tcBorders>
              <w:top w:val="nil"/>
              <w:left w:val="nil"/>
              <w:bottom w:val="nil"/>
              <w:right w:val="nil"/>
            </w:tcBorders>
            <w:shd w:val="clear" w:color="auto" w:fill="auto"/>
            <w:noWrap/>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Calibri"/>
                <w:color w:val="000000"/>
                <w:sz w:val="16"/>
                <w:szCs w:val="16"/>
                <w:lang w:eastAsia="en-GB"/>
              </w:rPr>
              <w:t>I would be happy for a friend or relative to access services within my organisation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-0.23</w:t>
            </w:r>
          </w:p>
        </w:tc>
      </w:tr>
      <w:tr w:rsidR="005679DF" w:rsidRPr="00467C54" w:rsidTr="001D258F">
        <w:trPr>
          <w:trHeight w:val="169"/>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22</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do not feel senior managers responsible for the wider organisation are sufficiently visible</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-0.14</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17</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am confident performance is managed well within my team</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0.06</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27</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would recommend my organisation as a good place to work</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0.07</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5</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am confident my ideas and suggestions are listened to</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0.16</w:t>
            </w:r>
          </w:p>
        </w:tc>
      </w:tr>
      <w:tr w:rsidR="005679DF" w:rsidRPr="00467C54" w:rsidTr="001D258F">
        <w:trPr>
          <w:trHeight w:val="251"/>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26</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I</w:t>
            </w:r>
            <w:r w:rsidRPr="00467C54">
              <w:rPr>
                <w:rFonts w:asciiTheme="majorHAnsi" w:eastAsia="Times New Roman" w:hAnsiTheme="majorHAnsi" w:cs="Calibri"/>
                <w:color w:val="000000"/>
                <w:sz w:val="16"/>
                <w:szCs w:val="16"/>
                <w:lang w:eastAsia="en-GB"/>
              </w:rPr>
              <w:t xml:space="preserve"> get the help and support I need from other teams and services within the organisation to do my job</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0.19</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21</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feel my organisation cares about my health and wellbeing</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0.34</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7</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feel involved in decisions relating to my job</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0.35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11</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feel appreciated for the work I do</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0.35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10</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get enough helpful feedback on how well I do my work</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6</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am confident my ideas and suggestions are acted upon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0.42</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3</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am given the time and resources to support my learning and growth</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0.49</w:t>
            </w:r>
          </w:p>
        </w:tc>
      </w:tr>
      <w:tr w:rsidR="005679DF" w:rsidRPr="00467C54" w:rsidTr="001D258F">
        <w:trPr>
          <w:trHeight w:val="305"/>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23</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have confidence and trust in senior managers responsible for the wider organisation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0.55</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25</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am confident performance is managed well within my organisation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0.62</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16</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do not feel involved in decisions relating to my team</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0.83</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4</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imes New Roman"/>
                <w:color w:val="000000"/>
                <w:sz w:val="16"/>
                <w:szCs w:val="16"/>
                <w:lang w:eastAsia="en-GB"/>
              </w:rPr>
              <w:t xml:space="preserve"> </w:t>
            </w:r>
            <w:r w:rsidRPr="00467C54">
              <w:rPr>
                <w:rFonts w:asciiTheme="majorHAnsi" w:eastAsia="Times New Roman" w:hAnsiTheme="majorHAnsi" w:cs="Calibri"/>
                <w:color w:val="000000"/>
                <w:sz w:val="16"/>
                <w:szCs w:val="16"/>
                <w:lang w:eastAsia="en-GB"/>
              </w:rPr>
              <w:t>I do not have sufficient support to do my job well</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0.84</w:t>
            </w:r>
          </w:p>
        </w:tc>
      </w:tr>
      <w:tr w:rsidR="005679DF" w:rsidRPr="00467C54" w:rsidTr="001D258F">
        <w:trPr>
          <w:trHeight w:val="300"/>
        </w:trPr>
        <w:tc>
          <w:tcPr>
            <w:tcW w:w="960"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sz w:val="24"/>
                <w:szCs w:val="24"/>
                <w:lang w:eastAsia="en-GB"/>
              </w:rPr>
            </w:pPr>
            <w:r w:rsidRPr="00467C54">
              <w:rPr>
                <w:rFonts w:asciiTheme="majorHAnsi" w:eastAsia="Times New Roman" w:hAnsiTheme="majorHAnsi" w:cs="Calibri"/>
                <w:color w:val="000000"/>
                <w:sz w:val="24"/>
                <w:szCs w:val="24"/>
                <w:lang w:eastAsia="en-GB"/>
              </w:rPr>
              <w:t>24</w:t>
            </w:r>
          </w:p>
        </w:tc>
        <w:tc>
          <w:tcPr>
            <w:tcW w:w="6849" w:type="dxa"/>
            <w:tcBorders>
              <w:top w:val="nil"/>
              <w:left w:val="nil"/>
              <w:bottom w:val="nil"/>
              <w:right w:val="nil"/>
            </w:tcBorders>
            <w:shd w:val="clear" w:color="auto" w:fill="auto"/>
            <w:hideMark/>
          </w:tcPr>
          <w:p w:rsidR="005679DF" w:rsidRPr="00467C54" w:rsidRDefault="005679DF" w:rsidP="001D258F">
            <w:pPr>
              <w:spacing w:line="276" w:lineRule="auto"/>
              <w:jc w:val="left"/>
              <w:rPr>
                <w:rFonts w:asciiTheme="majorHAnsi" w:eastAsia="Times New Roman" w:hAnsiTheme="majorHAnsi" w:cs="Calibri"/>
                <w:color w:val="000000"/>
                <w:sz w:val="16"/>
                <w:szCs w:val="16"/>
                <w:lang w:eastAsia="en-GB"/>
              </w:rPr>
            </w:pPr>
            <w:r w:rsidRPr="00467C54">
              <w:rPr>
                <w:rFonts w:asciiTheme="majorHAnsi" w:eastAsia="Times New Roman" w:hAnsiTheme="majorHAnsi" w:cstheme="minorHAnsi"/>
                <w:color w:val="000000"/>
                <w:sz w:val="16"/>
                <w:szCs w:val="16"/>
                <w:lang w:eastAsia="en-GB"/>
              </w:rPr>
              <w:t>I feel involved in decisions relating to my organisation</w:t>
            </w:r>
          </w:p>
        </w:tc>
        <w:tc>
          <w:tcPr>
            <w:tcW w:w="1454" w:type="dxa"/>
            <w:tcBorders>
              <w:top w:val="nil"/>
              <w:left w:val="nil"/>
              <w:bottom w:val="nil"/>
              <w:right w:val="nil"/>
            </w:tcBorders>
            <w:shd w:val="clear" w:color="auto" w:fill="auto"/>
            <w:noWrap/>
            <w:vAlign w:val="bottom"/>
            <w:hideMark/>
          </w:tcPr>
          <w:p w:rsidR="005679DF" w:rsidRPr="00467C54" w:rsidRDefault="005679DF" w:rsidP="001D258F">
            <w:pPr>
              <w:jc w:val="left"/>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1.06</w:t>
            </w:r>
          </w:p>
        </w:tc>
      </w:tr>
    </w:tbl>
    <w:p w:rsidR="0025155A" w:rsidRPr="00467C54" w:rsidRDefault="0060770C" w:rsidP="001D258F">
      <w:pPr>
        <w:pStyle w:val="Heading4"/>
      </w:pPr>
      <w:bookmarkStart w:id="50" w:name="_Toc349398131"/>
      <w:bookmarkStart w:id="51" w:name="_Toc349398203"/>
      <w:bookmarkStart w:id="52" w:name="_Toc351130769"/>
      <w:r w:rsidRPr="00467C54">
        <w:t>Table</w:t>
      </w:r>
      <w:r w:rsidR="00866153" w:rsidRPr="00467C54">
        <w:t xml:space="preserve"> 2. </w:t>
      </w:r>
      <w:r w:rsidRPr="00467C54">
        <w:t xml:space="preserve"> </w:t>
      </w:r>
      <w:r w:rsidR="00866153" w:rsidRPr="00467C54">
        <w:t>Item difficulty estimates by rank</w:t>
      </w:r>
      <w:bookmarkEnd w:id="50"/>
      <w:bookmarkEnd w:id="51"/>
      <w:bookmarkEnd w:id="52"/>
    </w:p>
    <w:p w:rsidR="0060770C" w:rsidRPr="00467C54" w:rsidRDefault="0060770C" w:rsidP="001D258F">
      <w:pPr>
        <w:rPr>
          <w:rFonts w:asciiTheme="majorHAnsi" w:hAnsiTheme="majorHAnsi" w:cstheme="minorHAnsi"/>
        </w:rPr>
      </w:pPr>
    </w:p>
    <w:p w:rsidR="00891AD7" w:rsidRPr="00467C54" w:rsidRDefault="00141D9D" w:rsidP="001D258F">
      <w:pPr>
        <w:rPr>
          <w:rFonts w:asciiTheme="majorHAnsi" w:eastAsia="Times New Roman" w:hAnsiTheme="majorHAnsi"/>
        </w:rPr>
      </w:pPr>
      <w:r w:rsidRPr="00467C54">
        <w:rPr>
          <w:rFonts w:asciiTheme="majorHAnsi" w:hAnsiTheme="majorHAnsi" w:cstheme="minorHAnsi"/>
        </w:rPr>
        <w:t xml:space="preserve">Figure </w:t>
      </w:r>
      <w:r w:rsidR="00866153" w:rsidRPr="00467C54">
        <w:rPr>
          <w:rFonts w:asciiTheme="majorHAnsi" w:hAnsiTheme="majorHAnsi" w:cstheme="minorHAnsi"/>
        </w:rPr>
        <w:t xml:space="preserve">9 </w:t>
      </w:r>
      <w:r w:rsidR="00D66818" w:rsidRPr="00467C54">
        <w:rPr>
          <w:rFonts w:asciiTheme="majorHAnsi" w:hAnsiTheme="majorHAnsi" w:cstheme="minorHAnsi"/>
        </w:rPr>
        <w:t xml:space="preserve">shows that </w:t>
      </w:r>
      <w:r w:rsidR="007454C1" w:rsidRPr="00467C54">
        <w:rPr>
          <w:rFonts w:asciiTheme="majorHAnsi" w:eastAsia="Times New Roman" w:hAnsiTheme="majorHAnsi"/>
        </w:rPr>
        <w:t>items are nicely clustered around zero with some items hard</w:t>
      </w:r>
      <w:r w:rsidR="004E0B3B" w:rsidRPr="00467C54">
        <w:rPr>
          <w:rFonts w:asciiTheme="majorHAnsi" w:eastAsia="Times New Roman" w:hAnsiTheme="majorHAnsi"/>
        </w:rPr>
        <w:t>er</w:t>
      </w:r>
      <w:r w:rsidR="007454C1" w:rsidRPr="00467C54">
        <w:rPr>
          <w:rFonts w:asciiTheme="majorHAnsi" w:eastAsia="Times New Roman" w:hAnsiTheme="majorHAnsi"/>
        </w:rPr>
        <w:t xml:space="preserve"> and some easy. </w:t>
      </w:r>
      <w:r w:rsidR="006B1026" w:rsidRPr="00467C54">
        <w:rPr>
          <w:rFonts w:asciiTheme="majorHAnsi" w:eastAsia="Times New Roman" w:hAnsiTheme="majorHAnsi"/>
        </w:rPr>
        <w:t xml:space="preserve">This is a good spread of item difficulty. </w:t>
      </w:r>
      <w:r w:rsidR="007454C1" w:rsidRPr="00467C54">
        <w:rPr>
          <w:rFonts w:asciiTheme="majorHAnsi" w:eastAsia="Times New Roman" w:hAnsiTheme="majorHAnsi"/>
        </w:rPr>
        <w:t>The perso</w:t>
      </w:r>
      <w:r w:rsidR="00D24BBE" w:rsidRPr="00467C54">
        <w:rPr>
          <w:rFonts w:asciiTheme="majorHAnsi" w:eastAsia="Times New Roman" w:hAnsiTheme="majorHAnsi"/>
        </w:rPr>
        <w:t xml:space="preserve">n spread is </w:t>
      </w:r>
      <w:r w:rsidR="005679DF" w:rsidRPr="00467C54">
        <w:rPr>
          <w:rFonts w:asciiTheme="majorHAnsi" w:eastAsia="Times New Roman" w:hAnsiTheme="majorHAnsi"/>
        </w:rPr>
        <w:t xml:space="preserve">also </w:t>
      </w:r>
      <w:r w:rsidR="00D24BBE" w:rsidRPr="00467C54">
        <w:rPr>
          <w:rFonts w:asciiTheme="majorHAnsi" w:eastAsia="Times New Roman" w:hAnsiTheme="majorHAnsi"/>
        </w:rPr>
        <w:t xml:space="preserve">clustered below zero </w:t>
      </w:r>
      <w:r w:rsidR="005679DF" w:rsidRPr="00467C54">
        <w:rPr>
          <w:rFonts w:asciiTheme="majorHAnsi" w:eastAsia="Times New Roman" w:hAnsiTheme="majorHAnsi"/>
        </w:rPr>
        <w:t>suggesting that this questionnaire is a good test of engagement in this sample.</w:t>
      </w:r>
    </w:p>
    <w:p w:rsidR="00891AD7" w:rsidRPr="00467C54" w:rsidRDefault="00891AD7" w:rsidP="001D258F">
      <w:pPr>
        <w:rPr>
          <w:rFonts w:asciiTheme="majorHAnsi" w:eastAsia="Times New Roman" w:hAnsiTheme="majorHAnsi"/>
        </w:rPr>
      </w:pPr>
    </w:p>
    <w:p w:rsidR="008C5A45" w:rsidRPr="00467C54" w:rsidRDefault="001C2107" w:rsidP="005A0156">
      <w:pPr>
        <w:rPr>
          <w:rFonts w:asciiTheme="majorHAnsi" w:eastAsia="Times New Roman" w:hAnsiTheme="majorHAnsi"/>
        </w:rPr>
      </w:pPr>
      <w:r w:rsidRPr="00467C54">
        <w:rPr>
          <w:rFonts w:asciiTheme="majorHAnsi" w:eastAsia="Times New Roman" w:hAnsiTheme="majorHAnsi"/>
        </w:rPr>
        <w:t xml:space="preserve">However, </w:t>
      </w:r>
      <w:r w:rsidR="00A27178" w:rsidRPr="00467C54">
        <w:rPr>
          <w:rFonts w:asciiTheme="majorHAnsi" w:eastAsia="Times New Roman" w:hAnsiTheme="majorHAnsi"/>
        </w:rPr>
        <w:t xml:space="preserve">this analysis doesn’t account </w:t>
      </w:r>
      <w:r w:rsidR="00F36854" w:rsidRPr="00467C54">
        <w:rPr>
          <w:rFonts w:asciiTheme="majorHAnsi" w:eastAsia="Times New Roman" w:hAnsiTheme="majorHAnsi"/>
        </w:rPr>
        <w:t xml:space="preserve">very well </w:t>
      </w:r>
      <w:r w:rsidR="00A27178" w:rsidRPr="00467C54">
        <w:rPr>
          <w:rFonts w:asciiTheme="majorHAnsi" w:eastAsia="Times New Roman" w:hAnsiTheme="majorHAnsi"/>
        </w:rPr>
        <w:t xml:space="preserve">for </w:t>
      </w:r>
      <w:r w:rsidR="00A27178" w:rsidRPr="00467C54">
        <w:rPr>
          <w:rFonts w:asciiTheme="majorHAnsi" w:eastAsia="Times New Roman" w:hAnsiTheme="majorHAnsi"/>
          <w:i/>
        </w:rPr>
        <w:t>degree</w:t>
      </w:r>
      <w:r w:rsidR="00A27178" w:rsidRPr="00467C54">
        <w:rPr>
          <w:rFonts w:asciiTheme="majorHAnsi" w:eastAsia="Times New Roman" w:hAnsiTheme="majorHAnsi"/>
        </w:rPr>
        <w:t xml:space="preserve"> of response</w:t>
      </w:r>
      <w:r w:rsidRPr="00467C54">
        <w:rPr>
          <w:rFonts w:asciiTheme="majorHAnsi" w:eastAsia="Times New Roman" w:hAnsiTheme="majorHAnsi"/>
        </w:rPr>
        <w:t xml:space="preserve">. In order to </w:t>
      </w:r>
      <w:r w:rsidR="005F2AD5" w:rsidRPr="00467C54">
        <w:rPr>
          <w:rFonts w:asciiTheme="majorHAnsi" w:eastAsia="Times New Roman" w:hAnsiTheme="majorHAnsi"/>
        </w:rPr>
        <w:t xml:space="preserve">summarise all this data for both person ability and item estimates including Likert thresholds </w:t>
      </w:r>
      <w:r w:rsidRPr="00467C54">
        <w:rPr>
          <w:rFonts w:asciiTheme="majorHAnsi" w:eastAsia="Times New Roman" w:hAnsiTheme="majorHAnsi"/>
        </w:rPr>
        <w:t>we need to use</w:t>
      </w:r>
      <w:r w:rsidR="005F2AD5" w:rsidRPr="00467C54">
        <w:rPr>
          <w:rFonts w:asciiTheme="majorHAnsi" w:eastAsia="Times New Roman" w:hAnsiTheme="majorHAnsi"/>
        </w:rPr>
        <w:t xml:space="preserve"> jMetrik</w:t>
      </w:r>
      <w:r w:rsidR="00D24BBE" w:rsidRPr="00467C54">
        <w:rPr>
          <w:rFonts w:asciiTheme="majorHAnsi" w:eastAsia="Times New Roman" w:hAnsiTheme="majorHAnsi"/>
        </w:rPr>
        <w:t>.</w:t>
      </w:r>
    </w:p>
    <w:p w:rsidR="00A27178" w:rsidRPr="00467C54" w:rsidRDefault="00A27178" w:rsidP="005A0156">
      <w:pPr>
        <w:rPr>
          <w:rFonts w:asciiTheme="majorHAnsi" w:eastAsia="Times New Roman" w:hAnsiTheme="majorHAnsi"/>
        </w:rPr>
      </w:pPr>
    </w:p>
    <w:p w:rsidR="003045C8" w:rsidRPr="00467C54" w:rsidRDefault="003045C8" w:rsidP="005A0156">
      <w:pPr>
        <w:pStyle w:val="Heading3"/>
      </w:pPr>
      <w:bookmarkStart w:id="53" w:name="_Toc351201886"/>
      <w:r w:rsidRPr="00467C54">
        <w:t>Item person map</w:t>
      </w:r>
      <w:r w:rsidR="00866153" w:rsidRPr="00467C54">
        <w:t xml:space="preserve"> with Likert data</w:t>
      </w:r>
      <w:bookmarkEnd w:id="53"/>
    </w:p>
    <w:p w:rsidR="003045C8" w:rsidRPr="00467C54" w:rsidRDefault="003045C8" w:rsidP="005A0156">
      <w:pPr>
        <w:rPr>
          <w:rFonts w:asciiTheme="majorHAnsi" w:eastAsia="Times New Roman" w:hAnsiTheme="majorHAnsi"/>
        </w:rPr>
      </w:pPr>
    </w:p>
    <w:p w:rsidR="003045C8" w:rsidRPr="00467C54" w:rsidRDefault="005F2AD5" w:rsidP="005A0156">
      <w:pPr>
        <w:widowControl w:val="0"/>
        <w:autoSpaceDE w:val="0"/>
        <w:autoSpaceDN w:val="0"/>
        <w:adjustRightInd w:val="0"/>
        <w:rPr>
          <w:rFonts w:asciiTheme="majorHAnsi" w:hAnsiTheme="majorHAnsi" w:cs="Helvetica"/>
          <w:color w:val="1049BC"/>
          <w:sz w:val="24"/>
          <w:szCs w:val="24"/>
          <w:lang w:val="en-US"/>
        </w:rPr>
      </w:pPr>
      <w:r w:rsidRPr="00467C54">
        <w:rPr>
          <w:rFonts w:asciiTheme="majorHAnsi" w:eastAsia="Times New Roman" w:hAnsiTheme="majorHAnsi"/>
        </w:rPr>
        <w:t xml:space="preserve">Figure </w:t>
      </w:r>
      <w:r w:rsidR="00866153" w:rsidRPr="00467C54">
        <w:rPr>
          <w:rFonts w:asciiTheme="majorHAnsi" w:eastAsia="Times New Roman" w:hAnsiTheme="majorHAnsi"/>
        </w:rPr>
        <w:t>10</w:t>
      </w:r>
      <w:r w:rsidRPr="00467C54">
        <w:rPr>
          <w:rFonts w:asciiTheme="majorHAnsi" w:eastAsia="Times New Roman" w:hAnsiTheme="majorHAnsi"/>
        </w:rPr>
        <w:t xml:space="preserve"> summarises all the data according to the Rasch model. It </w:t>
      </w:r>
      <w:r w:rsidR="001C2107" w:rsidRPr="00467C54">
        <w:rPr>
          <w:rFonts w:asciiTheme="majorHAnsi" w:eastAsia="Times New Roman" w:hAnsiTheme="majorHAnsi"/>
        </w:rPr>
        <w:t xml:space="preserve">is similar to figure </w:t>
      </w:r>
      <w:r w:rsidR="00F36854" w:rsidRPr="00467C54">
        <w:rPr>
          <w:rFonts w:asciiTheme="majorHAnsi" w:eastAsia="Times New Roman" w:hAnsiTheme="majorHAnsi"/>
        </w:rPr>
        <w:t>9</w:t>
      </w:r>
      <w:r w:rsidR="001C2107" w:rsidRPr="00467C54">
        <w:rPr>
          <w:rFonts w:asciiTheme="majorHAnsi" w:eastAsia="Times New Roman" w:hAnsiTheme="majorHAnsi"/>
        </w:rPr>
        <w:t xml:space="preserve"> but contains more information</w:t>
      </w:r>
      <w:r w:rsidR="006B1026" w:rsidRPr="00467C54">
        <w:rPr>
          <w:rFonts w:asciiTheme="majorHAnsi" w:eastAsia="Times New Roman" w:hAnsiTheme="majorHAnsi"/>
        </w:rPr>
        <w:t xml:space="preserve"> in relation to degrees of response</w:t>
      </w:r>
      <w:r w:rsidR="001C2107" w:rsidRPr="00467C54">
        <w:rPr>
          <w:rFonts w:asciiTheme="majorHAnsi" w:eastAsia="Times New Roman" w:hAnsiTheme="majorHAnsi"/>
        </w:rPr>
        <w:t xml:space="preserve">. It </w:t>
      </w:r>
      <w:r w:rsidRPr="00467C54">
        <w:rPr>
          <w:rFonts w:asciiTheme="majorHAnsi" w:eastAsia="Times New Roman" w:hAnsiTheme="majorHAnsi"/>
        </w:rPr>
        <w:t xml:space="preserve">is a snapshot of person ability </w:t>
      </w:r>
      <w:r w:rsidR="001C2107" w:rsidRPr="00467C54">
        <w:rPr>
          <w:rFonts w:asciiTheme="majorHAnsi" w:eastAsia="Times New Roman" w:hAnsiTheme="majorHAnsi"/>
        </w:rPr>
        <w:t xml:space="preserve">within this sample </w:t>
      </w:r>
      <w:r w:rsidR="00A27178" w:rsidRPr="00467C54">
        <w:rPr>
          <w:rFonts w:asciiTheme="majorHAnsi" w:eastAsia="Times New Roman" w:hAnsiTheme="majorHAnsi"/>
          <w:color w:val="000000" w:themeColor="text1"/>
        </w:rPr>
        <w:t>contrasted with</w:t>
      </w:r>
      <w:r w:rsidRPr="00467C54">
        <w:rPr>
          <w:rFonts w:asciiTheme="majorHAnsi" w:eastAsia="Times New Roman" w:hAnsiTheme="majorHAnsi"/>
          <w:color w:val="000000" w:themeColor="text1"/>
        </w:rPr>
        <w:t xml:space="preserve"> the likelihood of </w:t>
      </w:r>
      <w:r w:rsidR="00E62F2B" w:rsidRPr="00467C54">
        <w:rPr>
          <w:rFonts w:asciiTheme="majorHAnsi" w:eastAsia="Times New Roman" w:hAnsiTheme="majorHAnsi"/>
          <w:color w:val="000000" w:themeColor="text1"/>
        </w:rPr>
        <w:t xml:space="preserve">a particular </w:t>
      </w:r>
      <w:r w:rsidR="001C2107" w:rsidRPr="00467C54">
        <w:rPr>
          <w:rFonts w:asciiTheme="majorHAnsi" w:eastAsia="Times New Roman" w:hAnsiTheme="majorHAnsi"/>
          <w:color w:val="000000" w:themeColor="text1"/>
        </w:rPr>
        <w:t xml:space="preserve">Likert </w:t>
      </w:r>
      <w:r w:rsidR="00E62F2B" w:rsidRPr="00467C54">
        <w:rPr>
          <w:rFonts w:asciiTheme="majorHAnsi" w:eastAsia="Times New Roman" w:hAnsiTheme="majorHAnsi"/>
          <w:color w:val="000000" w:themeColor="text1"/>
        </w:rPr>
        <w:t>response.</w:t>
      </w:r>
      <w:r w:rsidR="00E62F2B" w:rsidRPr="00467C54">
        <w:rPr>
          <w:rFonts w:asciiTheme="majorHAnsi" w:hAnsiTheme="majorHAnsi" w:cs="Helvetica"/>
          <w:color w:val="000000" w:themeColor="text1"/>
          <w:lang w:val="en-US"/>
        </w:rPr>
        <w:t xml:space="preserve"> </w:t>
      </w:r>
      <w:r w:rsidR="006B1026" w:rsidRPr="00467C54">
        <w:rPr>
          <w:rFonts w:asciiTheme="majorHAnsi" w:hAnsiTheme="majorHAnsi" w:cs="Helvetica"/>
          <w:color w:val="000000" w:themeColor="text1"/>
          <w:lang w:val="en-US"/>
        </w:rPr>
        <w:t xml:space="preserve">The person density on the left is </w:t>
      </w:r>
      <w:r w:rsidR="00C4667E" w:rsidRPr="00467C54">
        <w:rPr>
          <w:rFonts w:asciiTheme="majorHAnsi" w:hAnsiTheme="majorHAnsi" w:cs="Helvetica"/>
          <w:color w:val="000000" w:themeColor="text1"/>
          <w:lang w:val="en-US"/>
        </w:rPr>
        <w:t>equivalent</w:t>
      </w:r>
      <w:r w:rsidR="006B1026" w:rsidRPr="00467C54">
        <w:rPr>
          <w:rFonts w:asciiTheme="majorHAnsi" w:hAnsiTheme="majorHAnsi" w:cs="Helvetica"/>
          <w:color w:val="000000" w:themeColor="text1"/>
          <w:lang w:val="en-US"/>
        </w:rPr>
        <w:t xml:space="preserve"> to the information given in figure </w:t>
      </w:r>
      <w:r w:rsidR="00F36854" w:rsidRPr="00467C54">
        <w:rPr>
          <w:rFonts w:asciiTheme="majorHAnsi" w:hAnsiTheme="majorHAnsi" w:cs="Helvetica"/>
          <w:color w:val="000000" w:themeColor="text1"/>
          <w:lang w:val="en-US"/>
        </w:rPr>
        <w:t>9</w:t>
      </w:r>
      <w:r w:rsidR="006B1026" w:rsidRPr="00467C54">
        <w:rPr>
          <w:rFonts w:asciiTheme="majorHAnsi" w:hAnsiTheme="majorHAnsi" w:cs="Helvetica"/>
          <w:color w:val="000000" w:themeColor="text1"/>
          <w:lang w:val="en-US"/>
        </w:rPr>
        <w:t xml:space="preserve">. </w:t>
      </w:r>
      <w:r w:rsidR="00E62F2B" w:rsidRPr="00467C54">
        <w:rPr>
          <w:rFonts w:asciiTheme="majorHAnsi" w:hAnsiTheme="majorHAnsi" w:cs="Helvetica"/>
          <w:color w:val="000000" w:themeColor="text1"/>
          <w:lang w:val="en-US"/>
        </w:rPr>
        <w:t xml:space="preserve">The item frequencies </w:t>
      </w:r>
      <w:r w:rsidR="001C2107" w:rsidRPr="00467C54">
        <w:rPr>
          <w:rFonts w:asciiTheme="majorHAnsi" w:hAnsiTheme="majorHAnsi" w:cs="Helvetica"/>
          <w:color w:val="000000" w:themeColor="text1"/>
          <w:lang w:val="en-US"/>
        </w:rPr>
        <w:t xml:space="preserve">on the right of the diagram </w:t>
      </w:r>
      <w:r w:rsidR="00E62F2B" w:rsidRPr="00467C54">
        <w:rPr>
          <w:rFonts w:asciiTheme="majorHAnsi" w:hAnsiTheme="majorHAnsi" w:cs="Helvetica"/>
          <w:color w:val="000000" w:themeColor="text1"/>
          <w:lang w:val="en-US"/>
        </w:rPr>
        <w:t>represent the step parameters (item difficulty + category threshold)</w:t>
      </w:r>
      <w:r w:rsidR="00C4667E" w:rsidRPr="00467C54">
        <w:rPr>
          <w:rFonts w:asciiTheme="majorHAnsi" w:hAnsiTheme="majorHAnsi" w:cs="Helvetica"/>
          <w:color w:val="000000" w:themeColor="text1"/>
          <w:lang w:val="en-US"/>
        </w:rPr>
        <w:t xml:space="preserve"> in the Likert scales</w:t>
      </w:r>
      <w:r w:rsidR="00E62F2B" w:rsidRPr="00467C54">
        <w:rPr>
          <w:rFonts w:asciiTheme="majorHAnsi" w:hAnsiTheme="majorHAnsi" w:cs="Helvetica"/>
          <w:color w:val="000000" w:themeColor="text1"/>
          <w:lang w:val="en-US"/>
        </w:rPr>
        <w:t xml:space="preserve">. The category threshold is the point where the </w:t>
      </w:r>
      <w:r w:rsidR="00A27178" w:rsidRPr="00467C54">
        <w:rPr>
          <w:rFonts w:asciiTheme="majorHAnsi" w:hAnsiTheme="majorHAnsi" w:cs="Helvetica"/>
          <w:color w:val="000000" w:themeColor="text1"/>
          <w:lang w:val="en-US"/>
        </w:rPr>
        <w:t xml:space="preserve">item </w:t>
      </w:r>
      <w:r w:rsidR="00E62F2B" w:rsidRPr="00467C54">
        <w:rPr>
          <w:rFonts w:asciiTheme="majorHAnsi" w:hAnsiTheme="majorHAnsi" w:cs="Helvetica"/>
          <w:color w:val="000000" w:themeColor="text1"/>
          <w:lang w:val="en-US"/>
        </w:rPr>
        <w:t>characteristic curves for two adjacent categories intersect. It is where responding in adjacent</w:t>
      </w:r>
      <w:r w:rsidR="001C2107" w:rsidRPr="00467C54">
        <w:rPr>
          <w:rFonts w:asciiTheme="majorHAnsi" w:hAnsiTheme="majorHAnsi" w:cs="Helvetica"/>
          <w:color w:val="000000" w:themeColor="text1"/>
          <w:lang w:val="en-US"/>
        </w:rPr>
        <w:t xml:space="preserve"> categories is equally likely. </w:t>
      </w:r>
      <w:r w:rsidR="00E62F2B" w:rsidRPr="00467C54">
        <w:rPr>
          <w:rFonts w:asciiTheme="majorHAnsi" w:hAnsiTheme="majorHAnsi" w:cs="Helvetica"/>
          <w:color w:val="000000" w:themeColor="text1"/>
          <w:lang w:val="en-US"/>
        </w:rPr>
        <w:t xml:space="preserve">In </w:t>
      </w:r>
      <w:r w:rsidR="00A27178" w:rsidRPr="00467C54">
        <w:rPr>
          <w:rFonts w:asciiTheme="majorHAnsi" w:hAnsiTheme="majorHAnsi" w:cs="Helvetica"/>
          <w:color w:val="000000" w:themeColor="text1"/>
          <w:lang w:val="en-US"/>
        </w:rPr>
        <w:t>the NHSEEI</w:t>
      </w:r>
      <w:r w:rsidR="00E62F2B" w:rsidRPr="00467C54">
        <w:rPr>
          <w:rFonts w:asciiTheme="majorHAnsi" w:hAnsiTheme="majorHAnsi" w:cs="Helvetica"/>
          <w:color w:val="000000" w:themeColor="text1"/>
          <w:lang w:val="en-US"/>
        </w:rPr>
        <w:t xml:space="preserve"> there are five thresholds (five step parameters) </w:t>
      </w:r>
      <w:r w:rsidR="00A27178" w:rsidRPr="00467C54">
        <w:rPr>
          <w:rFonts w:asciiTheme="majorHAnsi" w:hAnsiTheme="majorHAnsi" w:cs="Helvetica"/>
          <w:color w:val="000000" w:themeColor="text1"/>
          <w:lang w:val="en-US"/>
        </w:rPr>
        <w:t>because the</w:t>
      </w:r>
      <w:r w:rsidR="006B1026" w:rsidRPr="00467C54">
        <w:rPr>
          <w:rFonts w:asciiTheme="majorHAnsi" w:hAnsiTheme="majorHAnsi" w:cs="Helvetica"/>
          <w:color w:val="000000" w:themeColor="text1"/>
          <w:lang w:val="en-US"/>
        </w:rPr>
        <w:t xml:space="preserve"> questionnaire has</w:t>
      </w:r>
      <w:r w:rsidR="00E62F2B" w:rsidRPr="00467C54">
        <w:rPr>
          <w:rFonts w:asciiTheme="majorHAnsi" w:hAnsiTheme="majorHAnsi" w:cs="Helvetica"/>
          <w:color w:val="000000" w:themeColor="text1"/>
          <w:lang w:val="en-US"/>
        </w:rPr>
        <w:t xml:space="preserve"> six-category item</w:t>
      </w:r>
      <w:r w:rsidR="006B1026" w:rsidRPr="00467C54">
        <w:rPr>
          <w:rFonts w:asciiTheme="majorHAnsi" w:hAnsiTheme="majorHAnsi" w:cs="Helvetica"/>
          <w:color w:val="000000" w:themeColor="text1"/>
          <w:lang w:val="en-US"/>
        </w:rPr>
        <w:t>s</w:t>
      </w:r>
      <w:r w:rsidR="00E62F2B" w:rsidRPr="00467C54">
        <w:rPr>
          <w:rFonts w:asciiTheme="majorHAnsi" w:hAnsiTheme="majorHAnsi" w:cs="Helvetica"/>
          <w:color w:val="000000" w:themeColor="text1"/>
          <w:lang w:val="en-US"/>
        </w:rPr>
        <w:t xml:space="preserve">. The item frequencies represent the frequency of the step parameters. The light blue </w:t>
      </w:r>
      <w:r w:rsidR="001C2107" w:rsidRPr="00467C54">
        <w:rPr>
          <w:rFonts w:asciiTheme="majorHAnsi" w:hAnsiTheme="majorHAnsi" w:cs="Helvetica"/>
          <w:color w:val="000000" w:themeColor="text1"/>
          <w:lang w:val="en-US"/>
        </w:rPr>
        <w:t xml:space="preserve">bars </w:t>
      </w:r>
      <w:r w:rsidR="00E62F2B" w:rsidRPr="00467C54">
        <w:rPr>
          <w:rFonts w:asciiTheme="majorHAnsi" w:hAnsiTheme="majorHAnsi" w:cs="Helvetica"/>
          <w:color w:val="000000" w:themeColor="text1"/>
          <w:lang w:val="en-US"/>
        </w:rPr>
        <w:t>represents the step parameter between ‘strongly disagree’ and ‘disagree’ and the dark blue represents the step parameter between ‘agree’ and ‘strongly agree’. Pink</w:t>
      </w:r>
      <w:r w:rsidR="001C2107" w:rsidRPr="00467C54">
        <w:rPr>
          <w:rFonts w:asciiTheme="majorHAnsi" w:hAnsiTheme="majorHAnsi" w:cs="Helvetica"/>
          <w:color w:val="000000" w:themeColor="text1"/>
          <w:lang w:val="en-US"/>
        </w:rPr>
        <w:t xml:space="preserve"> (disagree/slightly disagree)</w:t>
      </w:r>
      <w:r w:rsidR="00E62F2B" w:rsidRPr="00467C54">
        <w:rPr>
          <w:rFonts w:asciiTheme="majorHAnsi" w:hAnsiTheme="majorHAnsi" w:cs="Helvetica"/>
          <w:color w:val="000000" w:themeColor="text1"/>
          <w:lang w:val="en-US"/>
        </w:rPr>
        <w:t xml:space="preserve">, yellow </w:t>
      </w:r>
      <w:r w:rsidR="00891AD7" w:rsidRPr="00467C54">
        <w:rPr>
          <w:rFonts w:asciiTheme="majorHAnsi" w:hAnsiTheme="majorHAnsi" w:cs="Helvetica"/>
          <w:color w:val="000000" w:themeColor="text1"/>
          <w:lang w:val="en-US"/>
        </w:rPr>
        <w:t>(slightly disagree/slightly agree) and</w:t>
      </w:r>
      <w:r w:rsidR="00E62F2B" w:rsidRPr="00467C54">
        <w:rPr>
          <w:rFonts w:asciiTheme="majorHAnsi" w:hAnsiTheme="majorHAnsi" w:cs="Helvetica"/>
          <w:color w:val="000000" w:themeColor="text1"/>
          <w:lang w:val="en-US"/>
        </w:rPr>
        <w:t xml:space="preserve"> green </w:t>
      </w:r>
      <w:r w:rsidR="00891AD7" w:rsidRPr="00467C54">
        <w:rPr>
          <w:rFonts w:asciiTheme="majorHAnsi" w:hAnsiTheme="majorHAnsi" w:cs="Helvetica"/>
          <w:color w:val="000000" w:themeColor="text1"/>
          <w:lang w:val="en-US"/>
        </w:rPr>
        <w:t xml:space="preserve">(slightly agree/agree) </w:t>
      </w:r>
      <w:r w:rsidR="00E62F2B" w:rsidRPr="00467C54">
        <w:rPr>
          <w:rFonts w:asciiTheme="majorHAnsi" w:hAnsiTheme="majorHAnsi" w:cs="Helvetica"/>
          <w:color w:val="000000" w:themeColor="text1"/>
          <w:lang w:val="en-US"/>
        </w:rPr>
        <w:t>represent the middle three parameters.</w:t>
      </w:r>
    </w:p>
    <w:p w:rsidR="003045C8" w:rsidRPr="00467C54" w:rsidRDefault="005679DF" w:rsidP="005679DF">
      <w:pPr>
        <w:jc w:val="center"/>
        <w:rPr>
          <w:rFonts w:asciiTheme="majorHAnsi" w:eastAsia="Times New Roman" w:hAnsiTheme="majorHAnsi" w:cs="Calibri"/>
          <w:color w:val="000000"/>
          <w:lang w:eastAsia="en-GB"/>
        </w:rPr>
      </w:pPr>
      <w:r w:rsidRPr="00467C54">
        <w:rPr>
          <w:rFonts w:asciiTheme="majorHAnsi" w:eastAsia="Times New Roman" w:hAnsiTheme="majorHAnsi" w:cs="Calibri"/>
          <w:noProof/>
          <w:color w:val="000000"/>
          <w:lang w:eastAsia="en-GB"/>
        </w:rPr>
        <w:drawing>
          <wp:inline distT="0" distB="0" distL="0" distR="0">
            <wp:extent cx="4762500" cy="4286250"/>
            <wp:effectExtent l="19050" t="0" r="0" b="0"/>
            <wp:docPr id="20" name="Picture 19" descr="rasch 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ch analysis.png"/>
                    <pic:cNvPicPr/>
                  </pic:nvPicPr>
                  <pic:blipFill>
                    <a:blip r:embed="rId11"/>
                    <a:stretch>
                      <a:fillRect/>
                    </a:stretch>
                  </pic:blipFill>
                  <pic:spPr>
                    <a:xfrm>
                      <a:off x="0" y="0"/>
                      <a:ext cx="4762500" cy="4286250"/>
                    </a:xfrm>
                    <a:prstGeom prst="rect">
                      <a:avLst/>
                    </a:prstGeom>
                  </pic:spPr>
                </pic:pic>
              </a:graphicData>
            </a:graphic>
          </wp:inline>
        </w:drawing>
      </w:r>
    </w:p>
    <w:p w:rsidR="003045C8" w:rsidRPr="00467C54" w:rsidRDefault="003045C8" w:rsidP="005A0156">
      <w:pPr>
        <w:rPr>
          <w:rFonts w:asciiTheme="majorHAnsi" w:eastAsia="Times New Roman" w:hAnsiTheme="majorHAnsi" w:cs="Calibri"/>
          <w:color w:val="000000"/>
          <w:lang w:eastAsia="en-GB"/>
        </w:rPr>
      </w:pPr>
    </w:p>
    <w:p w:rsidR="00E87375" w:rsidRPr="00467C54" w:rsidRDefault="00E87375" w:rsidP="00B27D48">
      <w:pPr>
        <w:pStyle w:val="Heading5"/>
        <w:jc w:val="center"/>
        <w:rPr>
          <w:lang w:eastAsia="en-GB"/>
        </w:rPr>
      </w:pPr>
      <w:bookmarkStart w:id="54" w:name="_Toc349398132"/>
      <w:bookmarkStart w:id="55" w:name="_Toc349398204"/>
      <w:bookmarkStart w:id="56" w:name="_Toc351020510"/>
      <w:r w:rsidRPr="00467C54">
        <w:rPr>
          <w:lang w:eastAsia="en-GB"/>
        </w:rPr>
        <w:t xml:space="preserve">Figure </w:t>
      </w:r>
      <w:r w:rsidR="00866153" w:rsidRPr="00467C54">
        <w:rPr>
          <w:lang w:eastAsia="en-GB"/>
        </w:rPr>
        <w:t>10. Item person map with Likert parameter thresholds</w:t>
      </w:r>
      <w:bookmarkEnd w:id="54"/>
      <w:bookmarkEnd w:id="55"/>
      <w:bookmarkEnd w:id="56"/>
    </w:p>
    <w:p w:rsidR="003045C8" w:rsidRPr="00467C54" w:rsidRDefault="003045C8" w:rsidP="005A0156">
      <w:pPr>
        <w:rPr>
          <w:rFonts w:asciiTheme="majorHAnsi" w:eastAsia="Times New Roman" w:hAnsiTheme="majorHAnsi" w:cs="Calibri"/>
          <w:color w:val="000000"/>
          <w:lang w:eastAsia="en-GB"/>
        </w:rPr>
      </w:pPr>
    </w:p>
    <w:p w:rsidR="00F61D5F" w:rsidRPr="00467C54" w:rsidRDefault="00F61D5F" w:rsidP="005A0156">
      <w:pPr>
        <w:rPr>
          <w:rFonts w:asciiTheme="majorHAnsi" w:eastAsia="Times New Roman" w:hAnsiTheme="majorHAnsi" w:cs="Calibri"/>
          <w:i/>
          <w:color w:val="000000"/>
          <w:lang w:eastAsia="en-GB"/>
        </w:rPr>
      </w:pPr>
    </w:p>
    <w:p w:rsidR="006B3BD2" w:rsidRPr="00467C54" w:rsidRDefault="00866153" w:rsidP="005A0156">
      <w:pPr>
        <w:rPr>
          <w:rFonts w:asciiTheme="majorHAnsi" w:eastAsia="Times New Roman" w:hAnsiTheme="majorHAnsi"/>
        </w:rPr>
      </w:pPr>
      <w:r w:rsidRPr="00467C54">
        <w:rPr>
          <w:rFonts w:asciiTheme="majorHAnsi" w:eastAsia="Times New Roman" w:hAnsiTheme="majorHAnsi"/>
        </w:rPr>
        <w:t>Figure 10</w:t>
      </w:r>
      <w:r w:rsidR="001C2107" w:rsidRPr="00467C54">
        <w:rPr>
          <w:rFonts w:asciiTheme="majorHAnsi" w:eastAsia="Times New Roman" w:hAnsiTheme="majorHAnsi"/>
        </w:rPr>
        <w:t xml:space="preserve"> therefore adds weight to the con</w:t>
      </w:r>
      <w:r w:rsidR="00891AD7" w:rsidRPr="00467C54">
        <w:rPr>
          <w:rFonts w:asciiTheme="majorHAnsi" w:eastAsia="Times New Roman" w:hAnsiTheme="majorHAnsi"/>
        </w:rPr>
        <w:t xml:space="preserve">clusion that this questionnaire is </w:t>
      </w:r>
      <w:r w:rsidR="00D036D4" w:rsidRPr="00467C54">
        <w:rPr>
          <w:rFonts w:asciiTheme="majorHAnsi" w:eastAsia="Times New Roman" w:hAnsiTheme="majorHAnsi"/>
        </w:rPr>
        <w:t>an excellent measure of engagement</w:t>
      </w:r>
      <w:r w:rsidR="00891AD7" w:rsidRPr="00467C54">
        <w:rPr>
          <w:rFonts w:asciiTheme="majorHAnsi" w:eastAsia="Times New Roman" w:hAnsiTheme="majorHAnsi"/>
        </w:rPr>
        <w:t xml:space="preserve"> </w:t>
      </w:r>
      <w:r w:rsidR="00D036D4" w:rsidRPr="00467C54">
        <w:rPr>
          <w:rFonts w:asciiTheme="majorHAnsi" w:eastAsia="Times New Roman" w:hAnsiTheme="majorHAnsi"/>
        </w:rPr>
        <w:t>in</w:t>
      </w:r>
      <w:r w:rsidR="00891AD7" w:rsidRPr="00467C54">
        <w:rPr>
          <w:rFonts w:asciiTheme="majorHAnsi" w:eastAsia="Times New Roman" w:hAnsiTheme="majorHAnsi"/>
        </w:rPr>
        <w:t xml:space="preserve"> this sample. </w:t>
      </w:r>
      <w:r w:rsidR="006B3BD2" w:rsidRPr="00467C54">
        <w:rPr>
          <w:rFonts w:asciiTheme="majorHAnsi" w:eastAsia="Times New Roman" w:hAnsiTheme="majorHAnsi"/>
        </w:rPr>
        <w:t>The questionnaire has items that can differentiate even at the extremes</w:t>
      </w:r>
      <w:r w:rsidR="001E5C92" w:rsidRPr="00467C54">
        <w:rPr>
          <w:rFonts w:asciiTheme="majorHAnsi" w:eastAsia="Times New Roman" w:hAnsiTheme="majorHAnsi"/>
        </w:rPr>
        <w:t xml:space="preserve">. </w:t>
      </w:r>
      <w:r w:rsidR="006B3BD2" w:rsidRPr="00467C54">
        <w:rPr>
          <w:rFonts w:asciiTheme="majorHAnsi" w:eastAsia="Times New Roman" w:hAnsiTheme="majorHAnsi"/>
        </w:rPr>
        <w:t xml:space="preserve">Because of the spread of the item difficulty it means there are questions in NHSEEI that can be answered by everyone and some questions only by the most engaged. Basically this means the NHSEEI is doing what it is supposed to be doing: differentiating between less and more engaged staff. Nobody scored at the maximum or minimum and because the items all tap into slightly different aspects of staff engagement (table 2, figure 11 &amp; 12) it suggests that it is </w:t>
      </w:r>
      <w:r w:rsidR="001E5C92" w:rsidRPr="00467C54">
        <w:rPr>
          <w:rFonts w:asciiTheme="majorHAnsi" w:eastAsia="Times New Roman" w:hAnsiTheme="majorHAnsi"/>
        </w:rPr>
        <w:t xml:space="preserve">a functional discriminatory tool between people. </w:t>
      </w:r>
    </w:p>
    <w:p w:rsidR="006B3BD2" w:rsidRPr="00467C54" w:rsidRDefault="006B3BD2" w:rsidP="005A0156">
      <w:pPr>
        <w:rPr>
          <w:rFonts w:asciiTheme="majorHAnsi" w:eastAsia="Times New Roman" w:hAnsiTheme="majorHAnsi"/>
        </w:rPr>
      </w:pPr>
    </w:p>
    <w:p w:rsidR="009904FC" w:rsidRPr="00467C54" w:rsidRDefault="00891AD7" w:rsidP="005A0156">
      <w:pPr>
        <w:rPr>
          <w:rFonts w:asciiTheme="majorHAnsi" w:eastAsia="Times New Roman" w:hAnsiTheme="majorHAnsi"/>
        </w:rPr>
      </w:pPr>
      <w:r w:rsidRPr="00467C54">
        <w:rPr>
          <w:rFonts w:asciiTheme="majorHAnsi" w:eastAsia="Times New Roman" w:hAnsiTheme="majorHAnsi"/>
        </w:rPr>
        <w:t xml:space="preserve">Whilst this </w:t>
      </w:r>
      <w:r w:rsidR="00F36854" w:rsidRPr="00467C54">
        <w:rPr>
          <w:rFonts w:asciiTheme="majorHAnsi" w:eastAsia="Times New Roman" w:hAnsiTheme="majorHAnsi"/>
        </w:rPr>
        <w:t>mainly adds probabilistic data its more general function is that</w:t>
      </w:r>
      <w:r w:rsidRPr="00467C54">
        <w:rPr>
          <w:rFonts w:asciiTheme="majorHAnsi" w:eastAsia="Times New Roman" w:hAnsiTheme="majorHAnsi"/>
        </w:rPr>
        <w:t xml:space="preserve"> it </w:t>
      </w:r>
      <w:r w:rsidR="00F36854" w:rsidRPr="00467C54">
        <w:rPr>
          <w:rFonts w:asciiTheme="majorHAnsi" w:eastAsia="Times New Roman" w:hAnsiTheme="majorHAnsi"/>
        </w:rPr>
        <w:t xml:space="preserve">adds credibility to </w:t>
      </w:r>
      <w:r w:rsidRPr="00467C54">
        <w:rPr>
          <w:rFonts w:asciiTheme="majorHAnsi" w:eastAsia="Times New Roman" w:hAnsiTheme="majorHAnsi"/>
        </w:rPr>
        <w:t>deduction</w:t>
      </w:r>
      <w:r w:rsidR="00F36854" w:rsidRPr="00467C54">
        <w:rPr>
          <w:rFonts w:asciiTheme="majorHAnsi" w:eastAsia="Times New Roman" w:hAnsiTheme="majorHAnsi"/>
        </w:rPr>
        <w:t>s we have already made</w:t>
      </w:r>
      <w:r w:rsidRPr="00467C54">
        <w:rPr>
          <w:rFonts w:asciiTheme="majorHAnsi" w:eastAsia="Times New Roman" w:hAnsiTheme="majorHAnsi"/>
        </w:rPr>
        <w:t xml:space="preserve"> by demonstrating that using different statistical techniques we</w:t>
      </w:r>
      <w:r w:rsidR="006B1026" w:rsidRPr="00467C54">
        <w:rPr>
          <w:rFonts w:asciiTheme="majorHAnsi" w:eastAsia="Times New Roman" w:hAnsiTheme="majorHAnsi"/>
        </w:rPr>
        <w:t xml:space="preserve"> arrive at the same conclusion. We have now analysed the sample in SPSS, Winsteps and jMetrik using various techniques and produced mutually supporting results.</w:t>
      </w:r>
    </w:p>
    <w:p w:rsidR="00891AD7" w:rsidRPr="00467C54" w:rsidRDefault="00891AD7" w:rsidP="005A0156">
      <w:pPr>
        <w:rPr>
          <w:rFonts w:asciiTheme="majorHAnsi" w:eastAsia="Times New Roman" w:hAnsiTheme="majorHAnsi"/>
          <w:i/>
        </w:rPr>
      </w:pPr>
    </w:p>
    <w:p w:rsidR="001C2107" w:rsidRPr="00467C54" w:rsidRDefault="006B1026" w:rsidP="005A0156">
      <w:pPr>
        <w:rPr>
          <w:rFonts w:asciiTheme="majorHAnsi" w:eastAsia="Times New Roman" w:hAnsiTheme="majorHAnsi"/>
        </w:rPr>
      </w:pPr>
      <w:r w:rsidRPr="00467C54">
        <w:rPr>
          <w:rFonts w:asciiTheme="majorHAnsi" w:eastAsia="Times New Roman" w:hAnsiTheme="majorHAnsi"/>
        </w:rPr>
        <w:t>However, as well as factor ana</w:t>
      </w:r>
      <w:r w:rsidR="00A27178" w:rsidRPr="00467C54">
        <w:rPr>
          <w:rFonts w:asciiTheme="majorHAnsi" w:eastAsia="Times New Roman" w:hAnsiTheme="majorHAnsi"/>
        </w:rPr>
        <w:t>lysis and item difficulty we</w:t>
      </w:r>
      <w:r w:rsidRPr="00467C54">
        <w:rPr>
          <w:rFonts w:asciiTheme="majorHAnsi" w:eastAsia="Times New Roman" w:hAnsiTheme="majorHAnsi"/>
        </w:rPr>
        <w:t xml:space="preserve"> also </w:t>
      </w:r>
      <w:r w:rsidR="00A27178" w:rsidRPr="00467C54">
        <w:rPr>
          <w:rFonts w:asciiTheme="majorHAnsi" w:eastAsia="Times New Roman" w:hAnsiTheme="majorHAnsi"/>
        </w:rPr>
        <w:t xml:space="preserve">need to </w:t>
      </w:r>
      <w:r w:rsidRPr="00467C54">
        <w:rPr>
          <w:rFonts w:asciiTheme="majorHAnsi" w:eastAsia="Times New Roman" w:hAnsiTheme="majorHAnsi"/>
        </w:rPr>
        <w:t xml:space="preserve">examine item </w:t>
      </w:r>
      <w:r w:rsidRPr="00467C54">
        <w:rPr>
          <w:rFonts w:asciiTheme="majorHAnsi" w:eastAsia="Times New Roman" w:hAnsiTheme="majorHAnsi"/>
          <w:i/>
        </w:rPr>
        <w:t>fit</w:t>
      </w:r>
      <w:r w:rsidRPr="00467C54">
        <w:rPr>
          <w:rFonts w:asciiTheme="majorHAnsi" w:eastAsia="Times New Roman" w:hAnsiTheme="majorHAnsi"/>
        </w:rPr>
        <w:t xml:space="preserve">. This is done to ascertain the overall behaviour of the individual items in relation to the measurement of the putative underlying trait. </w:t>
      </w:r>
      <w:r w:rsidR="001C2107" w:rsidRPr="00467C54">
        <w:rPr>
          <w:rFonts w:asciiTheme="majorHAnsi" w:eastAsia="Times New Roman" w:hAnsiTheme="majorHAnsi"/>
        </w:rPr>
        <w:t xml:space="preserve">In order to see how well the items fit with the underlying trait of staff engagement we can construct a bubble chart. This illustrates not just the item difficulty </w:t>
      </w:r>
      <w:r w:rsidR="0060770C" w:rsidRPr="00467C54">
        <w:rPr>
          <w:rFonts w:asciiTheme="majorHAnsi" w:eastAsia="Times New Roman" w:hAnsiTheme="majorHAnsi"/>
        </w:rPr>
        <w:t xml:space="preserve">(table </w:t>
      </w:r>
      <w:r w:rsidR="00F36854" w:rsidRPr="00467C54">
        <w:rPr>
          <w:rFonts w:asciiTheme="majorHAnsi" w:eastAsia="Times New Roman" w:hAnsiTheme="majorHAnsi"/>
        </w:rPr>
        <w:t>2</w:t>
      </w:r>
      <w:r w:rsidR="0060770C" w:rsidRPr="00467C54">
        <w:rPr>
          <w:rFonts w:asciiTheme="majorHAnsi" w:eastAsia="Times New Roman" w:hAnsiTheme="majorHAnsi"/>
        </w:rPr>
        <w:t xml:space="preserve">) </w:t>
      </w:r>
      <w:r w:rsidR="001C2107" w:rsidRPr="00467C54">
        <w:rPr>
          <w:rFonts w:asciiTheme="majorHAnsi" w:eastAsia="Times New Roman" w:hAnsiTheme="majorHAnsi"/>
        </w:rPr>
        <w:t xml:space="preserve">on the vertical axis but also the item ‘fit’ </w:t>
      </w:r>
      <w:r w:rsidR="0060770C" w:rsidRPr="00467C54">
        <w:rPr>
          <w:rFonts w:asciiTheme="majorHAnsi" w:eastAsia="Times New Roman" w:hAnsiTheme="majorHAnsi"/>
        </w:rPr>
        <w:t xml:space="preserve">with the overall model </w:t>
      </w:r>
      <w:r w:rsidR="001C2107" w:rsidRPr="00467C54">
        <w:rPr>
          <w:rFonts w:asciiTheme="majorHAnsi" w:eastAsia="Times New Roman" w:hAnsiTheme="majorHAnsi"/>
        </w:rPr>
        <w:t xml:space="preserve">on the horizontal axis. See figure </w:t>
      </w:r>
      <w:r w:rsidR="00866153" w:rsidRPr="00467C54">
        <w:rPr>
          <w:rFonts w:asciiTheme="majorHAnsi" w:eastAsia="Times New Roman" w:hAnsiTheme="majorHAnsi"/>
        </w:rPr>
        <w:t>11</w:t>
      </w:r>
      <w:r w:rsidR="001C2107" w:rsidRPr="00467C54">
        <w:rPr>
          <w:rFonts w:asciiTheme="majorHAnsi" w:eastAsia="Times New Roman" w:hAnsiTheme="majorHAnsi"/>
        </w:rPr>
        <w:t>.</w:t>
      </w:r>
    </w:p>
    <w:p w:rsidR="00027DAC" w:rsidRPr="00467C54" w:rsidRDefault="00027DAC" w:rsidP="005A0156">
      <w:pPr>
        <w:rPr>
          <w:rFonts w:asciiTheme="majorHAnsi" w:eastAsia="Times New Roman" w:hAnsiTheme="majorHAnsi"/>
        </w:rPr>
      </w:pPr>
    </w:p>
    <w:p w:rsidR="00027DAC" w:rsidRPr="00467C54" w:rsidRDefault="00D036D4" w:rsidP="00467C54">
      <w:pPr>
        <w:ind w:left="-284" w:hanging="142"/>
        <w:jc w:val="center"/>
        <w:rPr>
          <w:rFonts w:asciiTheme="majorHAnsi" w:eastAsia="Times New Roman" w:hAnsiTheme="majorHAnsi"/>
        </w:rPr>
      </w:pPr>
      <w:r w:rsidRPr="00467C54">
        <w:rPr>
          <w:rFonts w:asciiTheme="majorHAnsi" w:hAnsiTheme="majorHAnsi"/>
          <w:noProof/>
          <w:lang w:eastAsia="en-GB"/>
        </w:rPr>
        <w:drawing>
          <wp:inline distT="0" distB="0" distL="0" distR="0">
            <wp:extent cx="5709920" cy="3729139"/>
            <wp:effectExtent l="19050" t="0" r="24130" b="4661"/>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2107" w:rsidRPr="00467C54" w:rsidRDefault="00027DAC" w:rsidP="00027DAC">
      <w:pPr>
        <w:jc w:val="center"/>
        <w:rPr>
          <w:rFonts w:asciiTheme="majorHAnsi" w:eastAsia="Times New Roman" w:hAnsiTheme="majorHAnsi"/>
        </w:rPr>
      </w:pPr>
      <w:r w:rsidRPr="00467C54">
        <w:rPr>
          <w:rFonts w:asciiTheme="majorHAnsi" w:eastAsia="Times New Roman" w:hAnsiTheme="majorHAnsi"/>
        </w:rPr>
        <w:t>Infit mean square</w:t>
      </w:r>
    </w:p>
    <w:p w:rsidR="001C2107" w:rsidRPr="00467C54" w:rsidRDefault="00027DAC" w:rsidP="00B27D48">
      <w:pPr>
        <w:pStyle w:val="Heading5"/>
        <w:jc w:val="center"/>
      </w:pPr>
      <w:bookmarkStart w:id="57" w:name="_Toc349398133"/>
      <w:bookmarkStart w:id="58" w:name="_Toc349398205"/>
      <w:bookmarkStart w:id="59" w:name="_Toc351020511"/>
      <w:r w:rsidRPr="00467C54">
        <w:t xml:space="preserve">Figure </w:t>
      </w:r>
      <w:r w:rsidR="00866153" w:rsidRPr="00467C54">
        <w:t>11. Bubbleplot of all 28 items.</w:t>
      </w:r>
      <w:bookmarkEnd w:id="57"/>
      <w:bookmarkEnd w:id="58"/>
      <w:bookmarkEnd w:id="59"/>
    </w:p>
    <w:p w:rsidR="001C2107" w:rsidRPr="00467C54" w:rsidRDefault="001C2107" w:rsidP="005A0156">
      <w:pPr>
        <w:rPr>
          <w:rFonts w:asciiTheme="majorHAnsi" w:eastAsia="Times New Roman" w:hAnsiTheme="majorHAnsi"/>
        </w:rPr>
      </w:pPr>
    </w:p>
    <w:p w:rsidR="00C4667E" w:rsidRPr="00467C54" w:rsidRDefault="00866153" w:rsidP="00B27D48">
      <w:pPr>
        <w:rPr>
          <w:rFonts w:asciiTheme="majorHAnsi" w:eastAsia="Times New Roman" w:hAnsiTheme="majorHAnsi"/>
        </w:rPr>
      </w:pPr>
      <w:r w:rsidRPr="00467C54">
        <w:rPr>
          <w:rFonts w:asciiTheme="majorHAnsi" w:eastAsia="Times New Roman" w:hAnsiTheme="majorHAnsi"/>
        </w:rPr>
        <w:t xml:space="preserve">We can interpret </w:t>
      </w:r>
      <w:r w:rsidR="006B1026" w:rsidRPr="00467C54">
        <w:rPr>
          <w:rFonts w:asciiTheme="majorHAnsi" w:eastAsia="Times New Roman" w:hAnsiTheme="majorHAnsi"/>
        </w:rPr>
        <w:t xml:space="preserve">figure </w:t>
      </w:r>
      <w:r w:rsidRPr="00467C54">
        <w:rPr>
          <w:rFonts w:asciiTheme="majorHAnsi" w:eastAsia="Times New Roman" w:hAnsiTheme="majorHAnsi"/>
        </w:rPr>
        <w:t xml:space="preserve">11 </w:t>
      </w:r>
      <w:r w:rsidR="006B1026" w:rsidRPr="00467C54">
        <w:rPr>
          <w:rFonts w:asciiTheme="majorHAnsi" w:eastAsia="Times New Roman" w:hAnsiTheme="majorHAnsi"/>
        </w:rPr>
        <w:t xml:space="preserve">as follows. </w:t>
      </w:r>
      <w:r w:rsidR="001C2107" w:rsidRPr="00467C54">
        <w:rPr>
          <w:rFonts w:asciiTheme="majorHAnsi" w:eastAsia="Times New Roman" w:hAnsiTheme="majorHAnsi"/>
        </w:rPr>
        <w:t xml:space="preserve">Infit mean square of </w:t>
      </w:r>
      <w:r w:rsidR="00A27178" w:rsidRPr="00467C54">
        <w:rPr>
          <w:rFonts w:asciiTheme="majorHAnsi" w:eastAsia="Times New Roman" w:hAnsiTheme="majorHAnsi"/>
        </w:rPr>
        <w:t>one indicates the me</w:t>
      </w:r>
      <w:r w:rsidR="00F36854" w:rsidRPr="00467C54">
        <w:rPr>
          <w:rFonts w:asciiTheme="majorHAnsi" w:eastAsia="Times New Roman" w:hAnsiTheme="majorHAnsi"/>
        </w:rPr>
        <w:t>an value of ‘staff engagement’. M</w:t>
      </w:r>
      <w:r w:rsidR="001C2107" w:rsidRPr="00467C54">
        <w:rPr>
          <w:rFonts w:asciiTheme="majorHAnsi" w:eastAsia="Times New Roman" w:hAnsiTheme="majorHAnsi"/>
        </w:rPr>
        <w:t xml:space="preserve">ore or less than 1 indicates more variation than would be expected by the Rasch model. For example 1.3 is 30% more variation. 0.78 is 22% less variation. Response strings nearly always show some variation and this is no problem. </w:t>
      </w:r>
      <w:r w:rsidR="00F36854" w:rsidRPr="00467C54">
        <w:rPr>
          <w:rFonts w:asciiTheme="majorHAnsi" w:eastAsia="Times New Roman" w:hAnsiTheme="majorHAnsi"/>
        </w:rPr>
        <w:t xml:space="preserve">In fact it is this activity that allows us to accept the factor structure with more confidence, given that </w:t>
      </w:r>
      <w:r w:rsidR="00C4667E" w:rsidRPr="00467C54">
        <w:rPr>
          <w:rFonts w:asciiTheme="majorHAnsi" w:eastAsia="Times New Roman" w:hAnsiTheme="majorHAnsi"/>
        </w:rPr>
        <w:t>this shows factor groupings are more likely to be</w:t>
      </w:r>
      <w:r w:rsidR="00F36854" w:rsidRPr="00467C54">
        <w:rPr>
          <w:rFonts w:asciiTheme="majorHAnsi" w:eastAsia="Times New Roman" w:hAnsiTheme="majorHAnsi"/>
        </w:rPr>
        <w:t xml:space="preserve"> a </w:t>
      </w:r>
      <w:r w:rsidR="00C4667E" w:rsidRPr="00467C54">
        <w:rPr>
          <w:rFonts w:asciiTheme="majorHAnsi" w:eastAsia="Times New Roman" w:hAnsiTheme="majorHAnsi"/>
        </w:rPr>
        <w:t>function of diverse response patterns as opposed to</w:t>
      </w:r>
      <w:r w:rsidR="00F36854" w:rsidRPr="00467C54">
        <w:rPr>
          <w:rFonts w:asciiTheme="majorHAnsi" w:eastAsia="Times New Roman" w:hAnsiTheme="majorHAnsi"/>
        </w:rPr>
        <w:t xml:space="preserve"> </w:t>
      </w:r>
      <w:r w:rsidR="00C4667E" w:rsidRPr="00467C54">
        <w:rPr>
          <w:rFonts w:asciiTheme="majorHAnsi" w:eastAsia="Times New Roman" w:hAnsiTheme="majorHAnsi"/>
        </w:rPr>
        <w:t>an artefact of the same individuals</w:t>
      </w:r>
      <w:r w:rsidR="00F36854" w:rsidRPr="00467C54">
        <w:rPr>
          <w:rFonts w:asciiTheme="majorHAnsi" w:eastAsia="Times New Roman" w:hAnsiTheme="majorHAnsi"/>
        </w:rPr>
        <w:t xml:space="preserve"> answering different items in the same way</w:t>
      </w:r>
      <w:r w:rsidR="00C4667E" w:rsidRPr="00467C54">
        <w:rPr>
          <w:rFonts w:asciiTheme="majorHAnsi" w:eastAsia="Times New Roman" w:hAnsiTheme="majorHAnsi"/>
        </w:rPr>
        <w:t xml:space="preserve"> (just ticking the same response to every question on a particular page)</w:t>
      </w:r>
      <w:r w:rsidR="00F36854" w:rsidRPr="00467C54">
        <w:rPr>
          <w:rFonts w:asciiTheme="majorHAnsi" w:eastAsia="Times New Roman" w:hAnsiTheme="majorHAnsi"/>
        </w:rPr>
        <w:t xml:space="preserve">. </w:t>
      </w:r>
      <w:r w:rsidR="001C2107" w:rsidRPr="00467C54">
        <w:rPr>
          <w:rFonts w:asciiTheme="majorHAnsi" w:eastAsia="Times New Roman" w:hAnsiTheme="majorHAnsi"/>
        </w:rPr>
        <w:t>People respond to easier items as if they were more difficult and vice versa as these judgements of difficulty come from general estimates and individuals vary greatly.</w:t>
      </w:r>
    </w:p>
    <w:p w:rsidR="00C4667E" w:rsidRPr="00467C54" w:rsidRDefault="00C4667E" w:rsidP="00B27D48">
      <w:pPr>
        <w:rPr>
          <w:rFonts w:asciiTheme="majorHAnsi" w:eastAsia="Times New Roman" w:hAnsiTheme="majorHAnsi"/>
        </w:rPr>
      </w:pPr>
    </w:p>
    <w:p w:rsidR="009904FC" w:rsidRPr="00467C54" w:rsidRDefault="001C2107" w:rsidP="00467C54">
      <w:pPr>
        <w:jc w:val="left"/>
        <w:rPr>
          <w:rFonts w:asciiTheme="majorHAnsi" w:eastAsia="Times New Roman" w:hAnsiTheme="majorHAnsi"/>
        </w:rPr>
        <w:sectPr w:rsidR="009904FC" w:rsidRPr="00467C54" w:rsidSect="004B6997">
          <w:pgSz w:w="11906" w:h="16838"/>
          <w:pgMar w:top="1440" w:right="1440" w:bottom="1440" w:left="1474" w:header="708" w:footer="708" w:gutter="0"/>
          <w:cols w:space="708"/>
          <w:docGrid w:linePitch="360"/>
        </w:sectPr>
      </w:pPr>
      <w:r w:rsidRPr="00467C54">
        <w:rPr>
          <w:rFonts w:asciiTheme="majorHAnsi" w:eastAsia="Times New Roman" w:hAnsiTheme="majorHAnsi"/>
        </w:rPr>
        <w:t xml:space="preserve">Nevertheless it can be seen that some of these items may be problematic. Items 16, 4 and 22 </w:t>
      </w:r>
      <w:r w:rsidR="005E703F" w:rsidRPr="00467C54">
        <w:rPr>
          <w:rFonts w:asciiTheme="majorHAnsi" w:eastAsia="Times New Roman" w:hAnsiTheme="majorHAnsi"/>
        </w:rPr>
        <w:t>clearly</w:t>
      </w:r>
      <w:r w:rsidRPr="00467C54">
        <w:rPr>
          <w:rFonts w:asciiTheme="majorHAnsi" w:eastAsia="Times New Roman" w:hAnsiTheme="majorHAnsi"/>
        </w:rPr>
        <w:t xml:space="preserve"> don’t fit t</w:t>
      </w:r>
      <w:r w:rsidR="00A27178" w:rsidRPr="00467C54">
        <w:rPr>
          <w:rFonts w:asciiTheme="majorHAnsi" w:eastAsia="Times New Roman" w:hAnsiTheme="majorHAnsi"/>
        </w:rPr>
        <w:t xml:space="preserve">he model </w:t>
      </w:r>
      <w:r w:rsidR="001E5C92" w:rsidRPr="00467C54">
        <w:rPr>
          <w:rFonts w:asciiTheme="majorHAnsi" w:eastAsia="Times New Roman" w:hAnsiTheme="majorHAnsi"/>
        </w:rPr>
        <w:t>at all</w:t>
      </w:r>
      <w:r w:rsidRPr="00467C54">
        <w:rPr>
          <w:rFonts w:asciiTheme="majorHAnsi" w:eastAsia="Times New Roman" w:hAnsiTheme="majorHAnsi"/>
        </w:rPr>
        <w:t>. They ‘underfit’ the model and therefore need to be reviewed. Item</w:t>
      </w:r>
      <w:r w:rsidR="005E703F" w:rsidRPr="00467C54">
        <w:rPr>
          <w:rFonts w:asciiTheme="majorHAnsi" w:eastAsia="Times New Roman" w:hAnsiTheme="majorHAnsi"/>
        </w:rPr>
        <w:t>s</w:t>
      </w:r>
      <w:r w:rsidRPr="00467C54">
        <w:rPr>
          <w:rFonts w:asciiTheme="majorHAnsi" w:eastAsia="Times New Roman" w:hAnsiTheme="majorHAnsi"/>
        </w:rPr>
        <w:t xml:space="preserve"> 6 </w:t>
      </w:r>
      <w:r w:rsidR="005E703F" w:rsidRPr="00467C54">
        <w:rPr>
          <w:rFonts w:asciiTheme="majorHAnsi" w:eastAsia="Times New Roman" w:hAnsiTheme="majorHAnsi"/>
        </w:rPr>
        <w:t xml:space="preserve">and 27 </w:t>
      </w:r>
      <w:r w:rsidRPr="00467C54">
        <w:rPr>
          <w:rFonts w:asciiTheme="majorHAnsi" w:eastAsia="Times New Roman" w:hAnsiTheme="majorHAnsi"/>
        </w:rPr>
        <w:t xml:space="preserve">on the other hand may fit the model too well and therefore artificially inflate reliability. The technical implication of ‘overfit’ is that we may conclude that our questionnaire is better than it actually is. Item 6 is almost too good to be true </w:t>
      </w:r>
      <w:r w:rsidR="006F6711" w:rsidRPr="00467C54">
        <w:rPr>
          <w:rFonts w:asciiTheme="majorHAnsi" w:eastAsia="Times New Roman" w:hAnsiTheme="majorHAnsi"/>
        </w:rPr>
        <w:fldChar w:fldCharType="begin" w:fldLock="1"/>
      </w:r>
      <w:r w:rsidR="00EB25FC" w:rsidRPr="00467C54">
        <w:rPr>
          <w:rFonts w:asciiTheme="majorHAnsi" w:eastAsia="Times New Roman" w:hAnsiTheme="majorHAnsi"/>
        </w:rPr>
        <w:instrText>ADDIN CSL_CITATION { "citationItems" : [ { "id" : "ITEM-1", "itemData" : { "author" : [ { "family" : "Bond", "given" : "T.G." }, { "family" : "Fox", "given" : "C.M." } ], "edition" : "2", "id" : "ITEM-1", "issued" : { "date-parts" : [ [ "2007" ] ] }, "note" : "&lt;m:note/&gt;", "page" : "340", "publisher" : "Routeledge", "publisher-place" : "Oxon", "title" : "Applying the Rasch Model. Fundamental Measurement in the Human Sciences", "type" : "book" }, "uris" : [ "http://www.mendeley.com/documents/?uuid=9c263b90-e653-47c4-8538-9551088c7832" ] } ], "mendeley" : { "previouslyFormattedCitation" : "&lt;sup&gt;15&lt;/sup&gt;" }, "properties" : { "noteIndex" : 0 }, "schema" : "https://github.com/citation-style-language/schema/raw/master/csl-citation.json" }</w:instrText>
      </w:r>
      <w:r w:rsidR="006F6711" w:rsidRPr="00467C54">
        <w:rPr>
          <w:rFonts w:asciiTheme="majorHAnsi" w:eastAsia="Times New Roman" w:hAnsiTheme="majorHAnsi"/>
        </w:rPr>
        <w:fldChar w:fldCharType="separate"/>
      </w:r>
      <w:r w:rsidR="00EB25FC" w:rsidRPr="00467C54">
        <w:rPr>
          <w:rFonts w:asciiTheme="majorHAnsi" w:eastAsia="Times New Roman" w:hAnsiTheme="majorHAnsi"/>
          <w:noProof/>
          <w:vertAlign w:val="superscript"/>
        </w:rPr>
        <w:t>15</w:t>
      </w:r>
      <w:r w:rsidR="006F6711" w:rsidRPr="00467C54">
        <w:rPr>
          <w:rFonts w:asciiTheme="majorHAnsi" w:eastAsia="Times New Roman" w:hAnsiTheme="majorHAnsi"/>
        </w:rPr>
        <w:fldChar w:fldCharType="end"/>
      </w:r>
      <w:r w:rsidRPr="00467C54">
        <w:rPr>
          <w:rFonts w:asciiTheme="majorHAnsi" w:eastAsia="Times New Roman" w:hAnsiTheme="majorHAnsi"/>
        </w:rPr>
        <w:t xml:space="preserve">. We </w:t>
      </w:r>
      <w:r w:rsidR="00F36854" w:rsidRPr="00467C54">
        <w:rPr>
          <w:rFonts w:asciiTheme="majorHAnsi" w:eastAsia="Times New Roman" w:hAnsiTheme="majorHAnsi"/>
        </w:rPr>
        <w:t>therefore need to</w:t>
      </w:r>
      <w:r w:rsidR="00827EAA" w:rsidRPr="00467C54">
        <w:rPr>
          <w:rFonts w:asciiTheme="majorHAnsi" w:eastAsia="Times New Roman" w:hAnsiTheme="majorHAnsi"/>
        </w:rPr>
        <w:t xml:space="preserve"> examine these issues in more detail.</w:t>
      </w:r>
    </w:p>
    <w:p w:rsidR="00BA6BF1" w:rsidRPr="00467C54" w:rsidRDefault="00BA6BF1" w:rsidP="005A0156">
      <w:pPr>
        <w:pStyle w:val="Heading3"/>
      </w:pPr>
      <w:bookmarkStart w:id="60" w:name="_Toc351201887"/>
      <w:r w:rsidRPr="00467C54">
        <w:t>Detailed analysis of each question.</w:t>
      </w:r>
      <w:bookmarkEnd w:id="60"/>
    </w:p>
    <w:p w:rsidR="00BA6BF1" w:rsidRPr="00467C54" w:rsidRDefault="00BA6BF1" w:rsidP="005A0156">
      <w:pPr>
        <w:rPr>
          <w:rFonts w:asciiTheme="majorHAnsi" w:eastAsia="Times New Roman" w:hAnsiTheme="majorHAnsi"/>
        </w:rPr>
      </w:pPr>
    </w:p>
    <w:p w:rsidR="00BA6BF1" w:rsidRPr="00467C54" w:rsidRDefault="00BA6BF1" w:rsidP="005A0156">
      <w:pPr>
        <w:rPr>
          <w:rFonts w:asciiTheme="majorHAnsi" w:eastAsia="Times New Roman" w:hAnsiTheme="majorHAnsi"/>
        </w:rPr>
      </w:pPr>
      <w:r w:rsidRPr="00467C54">
        <w:rPr>
          <w:rFonts w:asciiTheme="majorHAnsi" w:eastAsia="Times New Roman" w:hAnsiTheme="majorHAnsi"/>
        </w:rPr>
        <w:t xml:space="preserve">Each question </w:t>
      </w:r>
      <w:r w:rsidR="00E758B0" w:rsidRPr="00467C54">
        <w:rPr>
          <w:rFonts w:asciiTheme="majorHAnsi" w:eastAsia="Times New Roman" w:hAnsiTheme="majorHAnsi"/>
        </w:rPr>
        <w:t xml:space="preserve">was </w:t>
      </w:r>
      <w:r w:rsidR="009904FC" w:rsidRPr="00467C54">
        <w:rPr>
          <w:rFonts w:asciiTheme="majorHAnsi" w:eastAsia="Times New Roman" w:hAnsiTheme="majorHAnsi"/>
        </w:rPr>
        <w:t xml:space="preserve">individually </w:t>
      </w:r>
      <w:r w:rsidR="00E758B0" w:rsidRPr="00467C54">
        <w:rPr>
          <w:rFonts w:asciiTheme="majorHAnsi" w:eastAsia="Times New Roman" w:hAnsiTheme="majorHAnsi"/>
        </w:rPr>
        <w:t>analysed</w:t>
      </w:r>
      <w:r w:rsidRPr="00467C54">
        <w:rPr>
          <w:rFonts w:asciiTheme="majorHAnsi" w:eastAsia="Times New Roman" w:hAnsiTheme="majorHAnsi"/>
        </w:rPr>
        <w:t xml:space="preserve"> by reference to the following:</w:t>
      </w:r>
    </w:p>
    <w:p w:rsidR="00BA6BF1" w:rsidRPr="00467C54" w:rsidRDefault="00BA6BF1" w:rsidP="005A0156">
      <w:pPr>
        <w:rPr>
          <w:rFonts w:asciiTheme="majorHAnsi" w:eastAsia="Times New Roman" w:hAnsiTheme="majorHAnsi"/>
        </w:rPr>
      </w:pPr>
    </w:p>
    <w:p w:rsidR="00BA6BF1" w:rsidRPr="00467C54" w:rsidRDefault="00BA6BF1" w:rsidP="005A0156">
      <w:pPr>
        <w:pStyle w:val="ListParagraph"/>
        <w:numPr>
          <w:ilvl w:val="0"/>
          <w:numId w:val="23"/>
        </w:numPr>
        <w:rPr>
          <w:rFonts w:asciiTheme="majorHAnsi" w:eastAsia="Times New Roman" w:hAnsiTheme="majorHAnsi"/>
        </w:rPr>
      </w:pPr>
      <w:r w:rsidRPr="00467C54">
        <w:rPr>
          <w:rFonts w:asciiTheme="majorHAnsi" w:eastAsia="Times New Roman" w:hAnsiTheme="majorHAnsi"/>
        </w:rPr>
        <w:t xml:space="preserve">The frequency of responses in each </w:t>
      </w:r>
      <w:r w:rsidR="000335FE" w:rsidRPr="00467C54">
        <w:rPr>
          <w:rFonts w:asciiTheme="majorHAnsi" w:eastAsia="Times New Roman" w:hAnsiTheme="majorHAnsi"/>
        </w:rPr>
        <w:t xml:space="preserve">Likert </w:t>
      </w:r>
      <w:r w:rsidRPr="00467C54">
        <w:rPr>
          <w:rFonts w:asciiTheme="majorHAnsi" w:eastAsia="Times New Roman" w:hAnsiTheme="majorHAnsi"/>
        </w:rPr>
        <w:t>category</w:t>
      </w:r>
      <w:r w:rsidR="000335FE" w:rsidRPr="00467C54">
        <w:rPr>
          <w:rFonts w:asciiTheme="majorHAnsi" w:eastAsia="Times New Roman" w:hAnsiTheme="majorHAnsi"/>
        </w:rPr>
        <w:t xml:space="preserve"> (from figure </w:t>
      </w:r>
      <w:r w:rsidR="00F36854" w:rsidRPr="00467C54">
        <w:rPr>
          <w:rFonts w:asciiTheme="majorHAnsi" w:eastAsia="Times New Roman" w:hAnsiTheme="majorHAnsi"/>
        </w:rPr>
        <w:t>2 and figure 10</w:t>
      </w:r>
      <w:r w:rsidR="000335FE" w:rsidRPr="00467C54">
        <w:rPr>
          <w:rFonts w:asciiTheme="majorHAnsi" w:eastAsia="Times New Roman" w:hAnsiTheme="majorHAnsi"/>
        </w:rPr>
        <w:t>)</w:t>
      </w:r>
    </w:p>
    <w:p w:rsidR="00BA6BF1" w:rsidRPr="00467C54" w:rsidRDefault="00BA6BF1" w:rsidP="005A0156">
      <w:pPr>
        <w:pStyle w:val="ListParagraph"/>
        <w:numPr>
          <w:ilvl w:val="0"/>
          <w:numId w:val="23"/>
        </w:numPr>
        <w:rPr>
          <w:rFonts w:asciiTheme="majorHAnsi" w:eastAsia="Times New Roman" w:hAnsiTheme="majorHAnsi"/>
        </w:rPr>
      </w:pPr>
      <w:r w:rsidRPr="00467C54">
        <w:rPr>
          <w:rFonts w:asciiTheme="majorHAnsi" w:eastAsia="Times New Roman" w:hAnsiTheme="majorHAnsi"/>
        </w:rPr>
        <w:t>The factor the i</w:t>
      </w:r>
      <w:r w:rsidR="000335FE" w:rsidRPr="00467C54">
        <w:rPr>
          <w:rFonts w:asciiTheme="majorHAnsi" w:eastAsia="Times New Roman" w:hAnsiTheme="majorHAnsi"/>
        </w:rPr>
        <w:t>tem most closely correlates to</w:t>
      </w:r>
      <w:r w:rsidR="00C93B22" w:rsidRPr="00467C54">
        <w:rPr>
          <w:rFonts w:asciiTheme="majorHAnsi" w:eastAsia="Times New Roman" w:hAnsiTheme="majorHAnsi"/>
        </w:rPr>
        <w:t xml:space="preserve"> </w:t>
      </w:r>
      <w:r w:rsidR="000335FE" w:rsidRPr="00467C54">
        <w:rPr>
          <w:rFonts w:asciiTheme="majorHAnsi" w:eastAsia="Times New Roman" w:hAnsiTheme="majorHAnsi"/>
        </w:rPr>
        <w:t xml:space="preserve">(from </w:t>
      </w:r>
      <w:r w:rsidR="00F36854" w:rsidRPr="00467C54">
        <w:rPr>
          <w:rFonts w:asciiTheme="majorHAnsi" w:eastAsia="Times New Roman" w:hAnsiTheme="majorHAnsi"/>
        </w:rPr>
        <w:t xml:space="preserve">table 1 and </w:t>
      </w:r>
      <w:r w:rsidR="000335FE" w:rsidRPr="00467C54">
        <w:rPr>
          <w:rFonts w:asciiTheme="majorHAnsi" w:eastAsia="Times New Roman" w:hAnsiTheme="majorHAnsi"/>
        </w:rPr>
        <w:t xml:space="preserve">figure </w:t>
      </w:r>
      <w:r w:rsidR="00F36854" w:rsidRPr="00467C54">
        <w:rPr>
          <w:rFonts w:asciiTheme="majorHAnsi" w:eastAsia="Times New Roman" w:hAnsiTheme="majorHAnsi"/>
        </w:rPr>
        <w:t>8</w:t>
      </w:r>
      <w:r w:rsidR="000335FE" w:rsidRPr="00467C54">
        <w:rPr>
          <w:rFonts w:asciiTheme="majorHAnsi" w:eastAsia="Times New Roman" w:hAnsiTheme="majorHAnsi"/>
        </w:rPr>
        <w:t>)</w:t>
      </w:r>
    </w:p>
    <w:p w:rsidR="00BA6BF1" w:rsidRPr="00467C54" w:rsidRDefault="00CC7757" w:rsidP="005A0156">
      <w:pPr>
        <w:pStyle w:val="ListParagraph"/>
        <w:numPr>
          <w:ilvl w:val="0"/>
          <w:numId w:val="23"/>
        </w:numPr>
        <w:rPr>
          <w:rFonts w:asciiTheme="majorHAnsi" w:eastAsia="Times New Roman" w:hAnsiTheme="majorHAnsi"/>
        </w:rPr>
      </w:pPr>
      <w:r w:rsidRPr="00467C54">
        <w:rPr>
          <w:rFonts w:asciiTheme="majorHAnsi" w:eastAsia="Times New Roman" w:hAnsiTheme="majorHAnsi"/>
        </w:rPr>
        <w:t>T</w:t>
      </w:r>
      <w:r w:rsidR="00BA6BF1" w:rsidRPr="00467C54">
        <w:rPr>
          <w:rFonts w:asciiTheme="majorHAnsi" w:eastAsia="Times New Roman" w:hAnsiTheme="majorHAnsi"/>
        </w:rPr>
        <w:t>he difficulty</w:t>
      </w:r>
      <w:r w:rsidRPr="00467C54">
        <w:rPr>
          <w:rFonts w:asciiTheme="majorHAnsi" w:eastAsia="Times New Roman" w:hAnsiTheme="majorHAnsi"/>
        </w:rPr>
        <w:t xml:space="preserve"> of the item and the </w:t>
      </w:r>
      <w:r w:rsidR="004576A9" w:rsidRPr="00467C54">
        <w:rPr>
          <w:rFonts w:asciiTheme="majorHAnsi" w:eastAsia="Times New Roman" w:hAnsiTheme="majorHAnsi"/>
        </w:rPr>
        <w:t>item fit</w:t>
      </w:r>
      <w:r w:rsidR="00C93B22" w:rsidRPr="00467C54">
        <w:rPr>
          <w:rFonts w:asciiTheme="majorHAnsi" w:eastAsia="Times New Roman" w:hAnsiTheme="majorHAnsi"/>
        </w:rPr>
        <w:t xml:space="preserve"> </w:t>
      </w:r>
      <w:r w:rsidR="000335FE" w:rsidRPr="00467C54">
        <w:rPr>
          <w:rFonts w:asciiTheme="majorHAnsi" w:eastAsia="Times New Roman" w:hAnsiTheme="majorHAnsi"/>
        </w:rPr>
        <w:t xml:space="preserve"> (from figure </w:t>
      </w:r>
      <w:r w:rsidR="00F36854" w:rsidRPr="00467C54">
        <w:rPr>
          <w:rFonts w:asciiTheme="majorHAnsi" w:eastAsia="Times New Roman" w:hAnsiTheme="majorHAnsi"/>
        </w:rPr>
        <w:t>9</w:t>
      </w:r>
      <w:r w:rsidR="00680520" w:rsidRPr="00467C54">
        <w:rPr>
          <w:rFonts w:asciiTheme="majorHAnsi" w:eastAsia="Times New Roman" w:hAnsiTheme="majorHAnsi"/>
        </w:rPr>
        <w:t xml:space="preserve"> and figure </w:t>
      </w:r>
      <w:r w:rsidR="00F36854" w:rsidRPr="00467C54">
        <w:rPr>
          <w:rFonts w:asciiTheme="majorHAnsi" w:eastAsia="Times New Roman" w:hAnsiTheme="majorHAnsi"/>
        </w:rPr>
        <w:t>11</w:t>
      </w:r>
      <w:r w:rsidR="000335FE" w:rsidRPr="00467C54">
        <w:rPr>
          <w:rFonts w:asciiTheme="majorHAnsi" w:eastAsia="Times New Roman" w:hAnsiTheme="majorHAnsi"/>
        </w:rPr>
        <w:t>)</w:t>
      </w:r>
    </w:p>
    <w:p w:rsidR="00CC7757" w:rsidRPr="00467C54" w:rsidRDefault="00CC7757" w:rsidP="005A0156">
      <w:pPr>
        <w:pStyle w:val="ListParagraph"/>
        <w:numPr>
          <w:ilvl w:val="0"/>
          <w:numId w:val="23"/>
        </w:numPr>
        <w:rPr>
          <w:rFonts w:asciiTheme="majorHAnsi" w:eastAsia="Times New Roman" w:hAnsiTheme="majorHAnsi"/>
        </w:rPr>
      </w:pPr>
      <w:r w:rsidRPr="00467C54">
        <w:rPr>
          <w:rFonts w:asciiTheme="majorHAnsi" w:eastAsia="Times New Roman" w:hAnsiTheme="majorHAnsi"/>
        </w:rPr>
        <w:t>A synthesis of these analyses</w:t>
      </w:r>
    </w:p>
    <w:p w:rsidR="00BA6BF1" w:rsidRPr="00467C54" w:rsidRDefault="00BA6BF1" w:rsidP="005A0156">
      <w:pPr>
        <w:rPr>
          <w:rFonts w:asciiTheme="majorHAnsi" w:eastAsia="Times New Roman" w:hAnsiTheme="majorHAnsi"/>
        </w:rPr>
      </w:pPr>
    </w:p>
    <w:p w:rsidR="006E2061" w:rsidRPr="00467C54" w:rsidRDefault="00E758B0" w:rsidP="005A0156">
      <w:pPr>
        <w:rPr>
          <w:rFonts w:asciiTheme="majorHAnsi" w:eastAsia="Times New Roman" w:hAnsiTheme="majorHAnsi"/>
        </w:rPr>
      </w:pPr>
      <w:r w:rsidRPr="00467C54">
        <w:rPr>
          <w:rFonts w:asciiTheme="majorHAnsi" w:eastAsia="Times New Roman" w:hAnsiTheme="majorHAnsi"/>
        </w:rPr>
        <w:t>The purpose of gathering this data together was</w:t>
      </w:r>
      <w:r w:rsidR="000335FE" w:rsidRPr="00467C54">
        <w:rPr>
          <w:rFonts w:asciiTheme="majorHAnsi" w:eastAsia="Times New Roman" w:hAnsiTheme="majorHAnsi"/>
        </w:rPr>
        <w:t xml:space="preserve"> </w:t>
      </w:r>
      <w:r w:rsidR="00FB1595" w:rsidRPr="00467C54">
        <w:rPr>
          <w:rFonts w:asciiTheme="majorHAnsi" w:eastAsia="Times New Roman" w:hAnsiTheme="majorHAnsi"/>
        </w:rPr>
        <w:t>to facilitate deeper analysis of</w:t>
      </w:r>
      <w:r w:rsidR="000335FE" w:rsidRPr="00467C54">
        <w:rPr>
          <w:rFonts w:asciiTheme="majorHAnsi" w:eastAsia="Times New Roman" w:hAnsiTheme="majorHAnsi"/>
        </w:rPr>
        <w:t xml:space="preserve"> each question</w:t>
      </w:r>
      <w:r w:rsidR="009508FC" w:rsidRPr="00467C54">
        <w:rPr>
          <w:rFonts w:asciiTheme="majorHAnsi" w:eastAsia="Times New Roman" w:hAnsiTheme="majorHAnsi"/>
        </w:rPr>
        <w:t xml:space="preserve"> and its place within the questionnaire as a whole</w:t>
      </w:r>
      <w:r w:rsidR="000335FE" w:rsidRPr="00467C54">
        <w:rPr>
          <w:rFonts w:asciiTheme="majorHAnsi" w:eastAsia="Times New Roman" w:hAnsiTheme="majorHAnsi"/>
        </w:rPr>
        <w:t>.</w:t>
      </w:r>
      <w:r w:rsidR="00CC7757" w:rsidRPr="00467C54">
        <w:rPr>
          <w:rFonts w:asciiTheme="majorHAnsi" w:eastAsia="Times New Roman" w:hAnsiTheme="majorHAnsi"/>
        </w:rPr>
        <w:t xml:space="preserve"> </w:t>
      </w:r>
      <w:r w:rsidR="009508FC" w:rsidRPr="00467C54">
        <w:rPr>
          <w:rFonts w:asciiTheme="majorHAnsi" w:eastAsia="Times New Roman" w:hAnsiTheme="majorHAnsi"/>
        </w:rPr>
        <w:t>The frequencies</w:t>
      </w:r>
      <w:r w:rsidR="0062742C" w:rsidRPr="00467C54">
        <w:rPr>
          <w:rFonts w:asciiTheme="majorHAnsi" w:eastAsia="Times New Roman" w:hAnsiTheme="majorHAnsi"/>
        </w:rPr>
        <w:t xml:space="preserve">, fit statistics and factor associations have </w:t>
      </w:r>
      <w:r w:rsidR="00F36854" w:rsidRPr="00467C54">
        <w:rPr>
          <w:rFonts w:asciiTheme="majorHAnsi" w:eastAsia="Times New Roman" w:hAnsiTheme="majorHAnsi"/>
        </w:rPr>
        <w:t>were considered together</w:t>
      </w:r>
      <w:r w:rsidR="009904FC" w:rsidRPr="00467C54">
        <w:rPr>
          <w:rFonts w:asciiTheme="majorHAnsi" w:eastAsia="Times New Roman" w:hAnsiTheme="majorHAnsi"/>
        </w:rPr>
        <w:t xml:space="preserve"> for a focused analysis</w:t>
      </w:r>
      <w:r w:rsidR="0062742C" w:rsidRPr="00467C54">
        <w:rPr>
          <w:rFonts w:asciiTheme="majorHAnsi" w:eastAsia="Times New Roman" w:hAnsiTheme="majorHAnsi"/>
        </w:rPr>
        <w:t xml:space="preserve">. </w:t>
      </w:r>
      <w:r w:rsidR="0064231F" w:rsidRPr="00467C54">
        <w:rPr>
          <w:rFonts w:asciiTheme="majorHAnsi" w:eastAsia="Times New Roman" w:hAnsiTheme="majorHAnsi" w:cs="Calibri"/>
          <w:color w:val="000000"/>
          <w:lang w:eastAsia="en-GB"/>
        </w:rPr>
        <w:t xml:space="preserve">Each question was therefore analysed in </w:t>
      </w:r>
      <w:r w:rsidR="00A46C0B" w:rsidRPr="00467C54">
        <w:rPr>
          <w:rFonts w:asciiTheme="majorHAnsi" w:eastAsia="Times New Roman" w:hAnsiTheme="majorHAnsi" w:cs="Calibri"/>
          <w:color w:val="000000"/>
          <w:lang w:eastAsia="en-GB"/>
        </w:rPr>
        <w:t xml:space="preserve">this level of </w:t>
      </w:r>
      <w:r w:rsidR="0064231F" w:rsidRPr="00467C54">
        <w:rPr>
          <w:rFonts w:asciiTheme="majorHAnsi" w:eastAsia="Times New Roman" w:hAnsiTheme="majorHAnsi" w:cs="Calibri"/>
          <w:color w:val="000000"/>
          <w:lang w:eastAsia="en-GB"/>
        </w:rPr>
        <w:t>detail, and</w:t>
      </w:r>
      <w:r w:rsidR="00A46C0B" w:rsidRPr="00467C54">
        <w:rPr>
          <w:rFonts w:asciiTheme="majorHAnsi" w:eastAsia="Times New Roman" w:hAnsiTheme="majorHAnsi" w:cs="Calibri"/>
          <w:color w:val="000000"/>
          <w:lang w:eastAsia="en-GB"/>
        </w:rPr>
        <w:t xml:space="preserve"> a</w:t>
      </w:r>
      <w:r w:rsidR="0064231F" w:rsidRPr="00467C54">
        <w:rPr>
          <w:rFonts w:asciiTheme="majorHAnsi" w:eastAsia="Times New Roman" w:hAnsiTheme="majorHAnsi" w:cs="Calibri"/>
          <w:color w:val="000000"/>
          <w:lang w:eastAsia="en-GB"/>
        </w:rPr>
        <w:t xml:space="preserve"> </w:t>
      </w:r>
      <w:r w:rsidR="00A46C0B" w:rsidRPr="00467C54">
        <w:rPr>
          <w:rFonts w:asciiTheme="majorHAnsi" w:eastAsia="Times New Roman" w:hAnsiTheme="majorHAnsi" w:cs="Calibri"/>
          <w:color w:val="000000"/>
          <w:lang w:eastAsia="en-GB"/>
        </w:rPr>
        <w:t>full breakdown</w:t>
      </w:r>
      <w:r w:rsidR="00827EAA" w:rsidRPr="00467C54">
        <w:rPr>
          <w:rFonts w:asciiTheme="majorHAnsi" w:eastAsia="Times New Roman" w:hAnsiTheme="majorHAnsi" w:cs="Calibri"/>
          <w:color w:val="000000"/>
          <w:lang w:eastAsia="en-GB"/>
        </w:rPr>
        <w:t xml:space="preserve"> </w:t>
      </w:r>
      <w:r w:rsidR="00725BA8" w:rsidRPr="00467C54">
        <w:rPr>
          <w:rFonts w:asciiTheme="majorHAnsi" w:eastAsia="Times New Roman" w:hAnsiTheme="majorHAnsi" w:cs="Calibri"/>
          <w:color w:val="000000"/>
          <w:lang w:eastAsia="en-GB"/>
        </w:rPr>
        <w:t xml:space="preserve">of this detailed analysis </w:t>
      </w:r>
      <w:r w:rsidR="00827EAA" w:rsidRPr="00467C54">
        <w:rPr>
          <w:rFonts w:asciiTheme="majorHAnsi" w:eastAsia="Times New Roman" w:hAnsiTheme="majorHAnsi" w:cs="Calibri"/>
          <w:color w:val="000000"/>
          <w:lang w:eastAsia="en-GB"/>
        </w:rPr>
        <w:t>by question</w:t>
      </w:r>
      <w:r w:rsidR="00A46C0B" w:rsidRPr="00467C54">
        <w:rPr>
          <w:rFonts w:asciiTheme="majorHAnsi" w:eastAsia="Times New Roman" w:hAnsiTheme="majorHAnsi" w:cs="Calibri"/>
          <w:color w:val="000000"/>
          <w:lang w:eastAsia="en-GB"/>
        </w:rPr>
        <w:t xml:space="preserve"> is </w:t>
      </w:r>
      <w:r w:rsidR="000A4699" w:rsidRPr="00467C54">
        <w:rPr>
          <w:rFonts w:asciiTheme="majorHAnsi" w:eastAsia="Times New Roman" w:hAnsiTheme="majorHAnsi" w:cs="Calibri"/>
          <w:color w:val="000000"/>
          <w:lang w:eastAsia="en-GB"/>
        </w:rPr>
        <w:t>available on request</w:t>
      </w:r>
      <w:r w:rsidR="00725BA8" w:rsidRPr="00467C54">
        <w:rPr>
          <w:rFonts w:asciiTheme="majorHAnsi" w:eastAsia="Times New Roman" w:hAnsiTheme="majorHAnsi" w:cs="Calibri"/>
          <w:color w:val="000000"/>
          <w:lang w:eastAsia="en-GB"/>
        </w:rPr>
        <w:t xml:space="preserve"> to the evaluation team</w:t>
      </w:r>
      <w:r w:rsidR="0064231F" w:rsidRPr="00467C54">
        <w:rPr>
          <w:rFonts w:asciiTheme="majorHAnsi" w:eastAsia="Times New Roman" w:hAnsiTheme="majorHAnsi" w:cs="Calibri"/>
          <w:color w:val="000000"/>
          <w:lang w:eastAsia="en-GB"/>
        </w:rPr>
        <w:t xml:space="preserve">. The body of this report focuses on </w:t>
      </w:r>
      <w:r w:rsidR="00175FDB" w:rsidRPr="00467C54">
        <w:rPr>
          <w:rFonts w:asciiTheme="majorHAnsi" w:eastAsia="Times New Roman" w:hAnsiTheme="majorHAnsi" w:cs="Calibri"/>
          <w:color w:val="000000"/>
          <w:lang w:eastAsia="en-GB"/>
        </w:rPr>
        <w:t>the synthesis and key conclusions from</w:t>
      </w:r>
      <w:r w:rsidR="0064231F" w:rsidRPr="00467C54">
        <w:rPr>
          <w:rFonts w:asciiTheme="majorHAnsi" w:eastAsia="Times New Roman" w:hAnsiTheme="majorHAnsi" w:cs="Calibri"/>
          <w:color w:val="000000"/>
          <w:lang w:eastAsia="en-GB"/>
        </w:rPr>
        <w:t xml:space="preserve"> this work.</w:t>
      </w:r>
      <w:r w:rsidR="00F20558" w:rsidRPr="00467C54">
        <w:rPr>
          <w:rFonts w:asciiTheme="majorHAnsi" w:eastAsia="Times New Roman" w:hAnsiTheme="majorHAnsi" w:cs="Calibri"/>
          <w:color w:val="000000"/>
          <w:lang w:eastAsia="en-GB"/>
        </w:rPr>
        <w:t xml:space="preserve"> Here are the main findings:</w:t>
      </w:r>
    </w:p>
    <w:p w:rsidR="00F20558" w:rsidRPr="00467C54" w:rsidRDefault="00F20558" w:rsidP="005A0156">
      <w:pPr>
        <w:rPr>
          <w:rFonts w:asciiTheme="majorHAnsi" w:eastAsia="Times New Roman" w:hAnsiTheme="majorHAnsi" w:cs="Calibri"/>
          <w:color w:val="000000"/>
          <w:lang w:eastAsia="en-GB"/>
        </w:rPr>
      </w:pPr>
    </w:p>
    <w:p w:rsidR="00F20558" w:rsidRPr="00467C54" w:rsidRDefault="00F20558" w:rsidP="005A0156">
      <w:pPr>
        <w:pStyle w:val="ListParagraph"/>
        <w:numPr>
          <w:ilvl w:val="0"/>
          <w:numId w:val="25"/>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The reversed items 4, 16 and 22 do not fit the model</w:t>
      </w:r>
      <w:r w:rsidR="00175FDB" w:rsidRPr="00467C54">
        <w:rPr>
          <w:rFonts w:asciiTheme="majorHAnsi" w:eastAsia="Times New Roman" w:hAnsiTheme="majorHAnsi" w:cs="Calibri"/>
          <w:color w:val="000000"/>
          <w:lang w:eastAsia="en-GB"/>
        </w:rPr>
        <w:t xml:space="preserve"> and the reversal should be removed</w:t>
      </w:r>
    </w:p>
    <w:p w:rsidR="00F20558" w:rsidRPr="00467C54" w:rsidRDefault="00F20558" w:rsidP="005A0156">
      <w:pPr>
        <w:rPr>
          <w:rFonts w:asciiTheme="majorHAnsi" w:eastAsia="Times New Roman" w:hAnsiTheme="majorHAnsi" w:cs="Calibri"/>
          <w:color w:val="000000"/>
          <w:lang w:eastAsia="en-GB"/>
        </w:rPr>
      </w:pPr>
    </w:p>
    <w:p w:rsidR="0061579F" w:rsidRPr="00467C54" w:rsidRDefault="005E703F" w:rsidP="005A0156">
      <w:pPr>
        <w:pStyle w:val="ListParagraph"/>
        <w:numPr>
          <w:ilvl w:val="0"/>
          <w:numId w:val="25"/>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Item 14 also </w:t>
      </w:r>
      <w:r w:rsidR="00827EAA" w:rsidRPr="00467C54">
        <w:rPr>
          <w:rFonts w:asciiTheme="majorHAnsi" w:eastAsia="Times New Roman" w:hAnsiTheme="majorHAnsi" w:cs="Calibri"/>
          <w:color w:val="000000"/>
          <w:lang w:eastAsia="en-GB"/>
        </w:rPr>
        <w:t>under</w:t>
      </w:r>
      <w:r w:rsidR="0061579F" w:rsidRPr="00467C54">
        <w:rPr>
          <w:rFonts w:asciiTheme="majorHAnsi" w:eastAsia="Times New Roman" w:hAnsiTheme="majorHAnsi" w:cs="Calibri"/>
          <w:color w:val="000000"/>
          <w:lang w:eastAsia="en-GB"/>
        </w:rPr>
        <w:t>fit</w:t>
      </w:r>
      <w:r w:rsidRPr="00467C54">
        <w:rPr>
          <w:rFonts w:asciiTheme="majorHAnsi" w:eastAsia="Times New Roman" w:hAnsiTheme="majorHAnsi" w:cs="Calibri"/>
          <w:color w:val="000000"/>
          <w:lang w:eastAsia="en-GB"/>
        </w:rPr>
        <w:t>s</w:t>
      </w:r>
      <w:r w:rsidR="0061579F" w:rsidRPr="00467C54">
        <w:rPr>
          <w:rFonts w:asciiTheme="majorHAnsi" w:eastAsia="Times New Roman" w:hAnsiTheme="majorHAnsi" w:cs="Calibri"/>
          <w:color w:val="000000"/>
          <w:lang w:eastAsia="en-GB"/>
        </w:rPr>
        <w:t xml:space="preserve"> the model</w:t>
      </w:r>
      <w:r w:rsidR="00175FDB" w:rsidRPr="00467C54">
        <w:rPr>
          <w:rFonts w:asciiTheme="majorHAnsi" w:eastAsia="Times New Roman" w:hAnsiTheme="majorHAnsi" w:cs="Calibri"/>
          <w:color w:val="000000"/>
          <w:lang w:eastAsia="en-GB"/>
        </w:rPr>
        <w:t>. Item</w:t>
      </w:r>
      <w:r w:rsidRPr="00467C54">
        <w:rPr>
          <w:rFonts w:asciiTheme="majorHAnsi" w:eastAsia="Times New Roman" w:hAnsiTheme="majorHAnsi" w:cs="Calibri"/>
          <w:color w:val="000000"/>
          <w:lang w:eastAsia="en-GB"/>
        </w:rPr>
        <w:t>s</w:t>
      </w:r>
      <w:r w:rsidR="00175FDB" w:rsidRPr="00467C54">
        <w:rPr>
          <w:rFonts w:asciiTheme="majorHAnsi" w:eastAsia="Times New Roman" w:hAnsiTheme="majorHAnsi" w:cs="Calibri"/>
          <w:color w:val="000000"/>
          <w:lang w:eastAsia="en-GB"/>
        </w:rPr>
        <w:t xml:space="preserve"> 6</w:t>
      </w:r>
      <w:r w:rsidRPr="00467C54">
        <w:rPr>
          <w:rFonts w:asciiTheme="majorHAnsi" w:eastAsia="Times New Roman" w:hAnsiTheme="majorHAnsi" w:cs="Calibri"/>
          <w:color w:val="000000"/>
          <w:lang w:eastAsia="en-GB"/>
        </w:rPr>
        <w:t xml:space="preserve"> and 27 overfit</w:t>
      </w:r>
      <w:r w:rsidR="00175FDB" w:rsidRPr="00467C54">
        <w:rPr>
          <w:rFonts w:asciiTheme="majorHAnsi" w:eastAsia="Times New Roman" w:hAnsiTheme="majorHAnsi" w:cs="Calibri"/>
          <w:color w:val="000000"/>
          <w:lang w:eastAsia="en-GB"/>
        </w:rPr>
        <w:t xml:space="preserve"> the model. However, because of their places wit</w:t>
      </w:r>
      <w:r w:rsidR="001E5E3B" w:rsidRPr="00467C54">
        <w:rPr>
          <w:rFonts w:asciiTheme="majorHAnsi" w:eastAsia="Times New Roman" w:hAnsiTheme="majorHAnsi" w:cs="Calibri"/>
          <w:color w:val="000000"/>
          <w:lang w:eastAsia="en-GB"/>
        </w:rPr>
        <w:t>h</w:t>
      </w:r>
      <w:r w:rsidR="00175FDB" w:rsidRPr="00467C54">
        <w:rPr>
          <w:rFonts w:asciiTheme="majorHAnsi" w:eastAsia="Times New Roman" w:hAnsiTheme="majorHAnsi" w:cs="Calibri"/>
          <w:color w:val="000000"/>
          <w:lang w:eastAsia="en-GB"/>
        </w:rPr>
        <w:t>in the factor structure these items should be retained</w:t>
      </w:r>
    </w:p>
    <w:p w:rsidR="0061579F" w:rsidRPr="00467C54" w:rsidRDefault="0061579F" w:rsidP="005A0156">
      <w:pPr>
        <w:rPr>
          <w:rFonts w:asciiTheme="majorHAnsi" w:eastAsia="Times New Roman" w:hAnsiTheme="majorHAnsi" w:cs="Calibri"/>
          <w:color w:val="000000"/>
          <w:lang w:eastAsia="en-GB"/>
        </w:rPr>
      </w:pPr>
    </w:p>
    <w:p w:rsidR="00175FDB" w:rsidRPr="00467C54" w:rsidRDefault="0061579F" w:rsidP="005A0156">
      <w:pPr>
        <w:pStyle w:val="ListParagraph"/>
        <w:numPr>
          <w:ilvl w:val="0"/>
          <w:numId w:val="25"/>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The rest of the items fit very well and </w:t>
      </w:r>
      <w:r w:rsidR="00175FDB" w:rsidRPr="00467C54">
        <w:rPr>
          <w:rFonts w:asciiTheme="majorHAnsi" w:eastAsia="Times New Roman" w:hAnsiTheme="majorHAnsi" w:cs="Calibri"/>
          <w:color w:val="000000"/>
          <w:lang w:eastAsia="en-GB"/>
        </w:rPr>
        <w:t>all contribute uniquely to the NHSEEI</w:t>
      </w:r>
      <w:r w:rsidRPr="00467C54">
        <w:rPr>
          <w:rFonts w:asciiTheme="majorHAnsi" w:eastAsia="Times New Roman" w:hAnsiTheme="majorHAnsi" w:cs="Calibri"/>
          <w:color w:val="000000"/>
          <w:lang w:eastAsia="en-GB"/>
        </w:rPr>
        <w:t>.</w:t>
      </w:r>
    </w:p>
    <w:p w:rsidR="000C0753" w:rsidRPr="00467C54" w:rsidRDefault="0062742C" w:rsidP="005A0156">
      <w:pPr>
        <w:pStyle w:val="Heading3"/>
        <w:rPr>
          <w:lang w:eastAsia="en-GB"/>
        </w:rPr>
      </w:pPr>
      <w:bookmarkStart w:id="61" w:name="_Toc351201888"/>
      <w:r w:rsidRPr="00467C54">
        <w:rPr>
          <w:lang w:eastAsia="en-GB"/>
        </w:rPr>
        <w:t>Summary synthesis of item analysis.</w:t>
      </w:r>
      <w:bookmarkEnd w:id="61"/>
      <w:r w:rsidRPr="00467C54">
        <w:rPr>
          <w:lang w:eastAsia="en-GB"/>
        </w:rPr>
        <w:t xml:space="preserve"> </w:t>
      </w:r>
    </w:p>
    <w:p w:rsidR="000C0753" w:rsidRPr="00467C54" w:rsidRDefault="000C0753" w:rsidP="005A0156">
      <w:pPr>
        <w:rPr>
          <w:rFonts w:asciiTheme="majorHAnsi" w:eastAsia="Times New Roman" w:hAnsiTheme="majorHAnsi" w:cs="Calibri"/>
          <w:color w:val="000000"/>
          <w:lang w:eastAsia="en-GB"/>
        </w:rPr>
      </w:pPr>
    </w:p>
    <w:p w:rsidR="0062742C" w:rsidRPr="00467C54" w:rsidRDefault="00B21D2D"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Figure</w:t>
      </w:r>
      <w:r w:rsidR="00866153" w:rsidRPr="00467C54">
        <w:rPr>
          <w:rFonts w:asciiTheme="majorHAnsi" w:eastAsia="Times New Roman" w:hAnsiTheme="majorHAnsi" w:cs="Calibri"/>
          <w:color w:val="000000"/>
          <w:lang w:eastAsia="en-GB"/>
        </w:rPr>
        <w:t xml:space="preserve"> 11</w:t>
      </w:r>
      <w:r w:rsidRPr="00467C54">
        <w:rPr>
          <w:rFonts w:asciiTheme="majorHAnsi" w:eastAsia="Times New Roman" w:hAnsiTheme="majorHAnsi" w:cs="Calibri"/>
          <w:color w:val="000000"/>
          <w:lang w:eastAsia="en-GB"/>
        </w:rPr>
        <w:t xml:space="preserve"> shows t</w:t>
      </w:r>
      <w:r w:rsidR="00C86696" w:rsidRPr="00467C54">
        <w:rPr>
          <w:rFonts w:asciiTheme="majorHAnsi" w:eastAsia="Times New Roman" w:hAnsiTheme="majorHAnsi" w:cs="Calibri"/>
          <w:color w:val="000000"/>
          <w:lang w:eastAsia="en-GB"/>
        </w:rPr>
        <w:t>he vast majority of items lie between plus or minus 0.3 of the mean. This means they all fit with the model of staff engagement and are all measuring something of the same concept. Likewise there is enough variation in these items to warrant confidence that the items all contribute something unique to the whole. The problematic items are in the minority.</w:t>
      </w:r>
    </w:p>
    <w:p w:rsidR="00B21D2D" w:rsidRPr="00467C54" w:rsidRDefault="00B21D2D" w:rsidP="005A0156">
      <w:pPr>
        <w:rPr>
          <w:rFonts w:asciiTheme="majorHAnsi" w:eastAsia="Times New Roman" w:hAnsiTheme="majorHAnsi" w:cs="Calibri"/>
          <w:color w:val="000000"/>
          <w:lang w:eastAsia="en-GB"/>
        </w:rPr>
      </w:pPr>
    </w:p>
    <w:p w:rsidR="00CC69AE" w:rsidRPr="00467C54" w:rsidRDefault="00C86696"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M</w:t>
      </w:r>
      <w:r w:rsidR="00137E66" w:rsidRPr="00467C54">
        <w:rPr>
          <w:rFonts w:asciiTheme="majorHAnsi" w:eastAsia="Times New Roman" w:hAnsiTheme="majorHAnsi" w:cs="Calibri"/>
          <w:color w:val="000000"/>
          <w:lang w:eastAsia="en-GB"/>
        </w:rPr>
        <w:t xml:space="preserve">uch of the problem of fit appeared to be related to the reversed items. These items factored together </w:t>
      </w:r>
      <w:r w:rsidR="00B21D2D" w:rsidRPr="00467C54">
        <w:rPr>
          <w:rFonts w:asciiTheme="majorHAnsi" w:eastAsia="Times New Roman" w:hAnsiTheme="majorHAnsi" w:cs="Calibri"/>
          <w:color w:val="000000"/>
          <w:lang w:eastAsia="en-GB"/>
        </w:rPr>
        <w:t xml:space="preserve">(see section on factor analysis) </w:t>
      </w:r>
      <w:r w:rsidR="00137E66" w:rsidRPr="00467C54">
        <w:rPr>
          <w:rFonts w:asciiTheme="majorHAnsi" w:eastAsia="Times New Roman" w:hAnsiTheme="majorHAnsi" w:cs="Calibri"/>
          <w:color w:val="000000"/>
          <w:lang w:eastAsia="en-GB"/>
        </w:rPr>
        <w:t xml:space="preserve">yet none fit with the overall model. </w:t>
      </w:r>
      <w:r w:rsidR="005E703F" w:rsidRPr="00467C54">
        <w:rPr>
          <w:rFonts w:asciiTheme="majorHAnsi" w:eastAsia="Times New Roman" w:hAnsiTheme="majorHAnsi" w:cs="Calibri"/>
          <w:color w:val="000000"/>
          <w:lang w:eastAsia="en-GB"/>
        </w:rPr>
        <w:t>When they were removed and the analyses rerun without them the majority of the overfit problems disappeared (figure 12)</w:t>
      </w:r>
      <w:r w:rsidR="00137E66" w:rsidRPr="00467C54">
        <w:rPr>
          <w:rFonts w:asciiTheme="majorHAnsi" w:eastAsia="Times New Roman" w:hAnsiTheme="majorHAnsi" w:cs="Calibri"/>
          <w:color w:val="000000"/>
          <w:lang w:eastAsia="en-GB"/>
        </w:rPr>
        <w:t>. Item 14 stands out as a consistently difficult and original question</w:t>
      </w:r>
      <w:r w:rsidR="005E703F" w:rsidRPr="00467C54">
        <w:rPr>
          <w:rFonts w:asciiTheme="majorHAnsi" w:eastAsia="Times New Roman" w:hAnsiTheme="majorHAnsi" w:cs="Calibri"/>
          <w:color w:val="000000"/>
          <w:lang w:eastAsia="en-GB"/>
        </w:rPr>
        <w:t>, and items 12-19 are on the edge of acceptable fit</w:t>
      </w:r>
      <w:r w:rsidR="00CC69AE" w:rsidRPr="00467C54">
        <w:rPr>
          <w:rFonts w:asciiTheme="majorHAnsi" w:eastAsia="Times New Roman" w:hAnsiTheme="majorHAnsi" w:cs="Calibri"/>
          <w:color w:val="000000"/>
          <w:lang w:eastAsia="en-GB"/>
        </w:rPr>
        <w:t xml:space="preserve">. This is not to say </w:t>
      </w:r>
      <w:r w:rsidR="005E703F" w:rsidRPr="00467C54">
        <w:rPr>
          <w:rFonts w:asciiTheme="majorHAnsi" w:eastAsia="Times New Roman" w:hAnsiTheme="majorHAnsi" w:cs="Calibri"/>
          <w:color w:val="000000"/>
          <w:lang w:eastAsia="en-GB"/>
        </w:rPr>
        <w:t>they are irrelevant to staff engagement</w:t>
      </w:r>
      <w:r w:rsidR="00CC69AE" w:rsidRPr="00467C54">
        <w:rPr>
          <w:rFonts w:asciiTheme="majorHAnsi" w:eastAsia="Times New Roman" w:hAnsiTheme="majorHAnsi" w:cs="Calibri"/>
          <w:color w:val="000000"/>
          <w:lang w:eastAsia="en-GB"/>
        </w:rPr>
        <w:t>. What this tells us is th</w:t>
      </w:r>
      <w:r w:rsidR="005E703F" w:rsidRPr="00467C54">
        <w:rPr>
          <w:rFonts w:asciiTheme="majorHAnsi" w:eastAsia="Times New Roman" w:hAnsiTheme="majorHAnsi" w:cs="Calibri"/>
          <w:color w:val="000000"/>
          <w:lang w:eastAsia="en-GB"/>
        </w:rPr>
        <w:t>at it they are</w:t>
      </w:r>
      <w:r w:rsidR="00CC69AE" w:rsidRPr="00467C54">
        <w:rPr>
          <w:rFonts w:asciiTheme="majorHAnsi" w:eastAsia="Times New Roman" w:hAnsiTheme="majorHAnsi" w:cs="Calibri"/>
          <w:color w:val="000000"/>
          <w:lang w:eastAsia="en-GB"/>
        </w:rPr>
        <w:t xml:space="preserve"> measuring</w:t>
      </w:r>
      <w:r w:rsidR="001E5E3B" w:rsidRPr="00467C54">
        <w:rPr>
          <w:rFonts w:asciiTheme="majorHAnsi" w:eastAsia="Times New Roman" w:hAnsiTheme="majorHAnsi" w:cs="Calibri"/>
          <w:color w:val="000000"/>
          <w:lang w:eastAsia="en-GB"/>
        </w:rPr>
        <w:t xml:space="preserve"> a unique aspect of it that the Rasch</w:t>
      </w:r>
      <w:r w:rsidR="00CC69AE" w:rsidRPr="00467C54">
        <w:rPr>
          <w:rFonts w:asciiTheme="majorHAnsi" w:eastAsia="Times New Roman" w:hAnsiTheme="majorHAnsi" w:cs="Calibri"/>
          <w:color w:val="000000"/>
          <w:lang w:eastAsia="en-GB"/>
        </w:rPr>
        <w:t xml:space="preserve"> model can’t account for.</w:t>
      </w:r>
    </w:p>
    <w:p w:rsidR="00CC69AE" w:rsidRPr="00467C54" w:rsidRDefault="00CC69AE" w:rsidP="005A0156">
      <w:pPr>
        <w:rPr>
          <w:rFonts w:asciiTheme="majorHAnsi" w:eastAsia="Times New Roman" w:hAnsiTheme="majorHAnsi" w:cs="Calibri"/>
          <w:color w:val="000000"/>
          <w:lang w:eastAsia="en-GB"/>
        </w:rPr>
      </w:pPr>
    </w:p>
    <w:p w:rsidR="00357F8B" w:rsidRPr="00467C54" w:rsidRDefault="00357F8B" w:rsidP="005A0156">
      <w:pPr>
        <w:rPr>
          <w:rFonts w:asciiTheme="majorHAnsi" w:eastAsia="Times New Roman" w:hAnsiTheme="majorHAnsi" w:cs="Calibri"/>
          <w:color w:val="000000"/>
          <w:lang w:eastAsia="en-GB"/>
        </w:rPr>
      </w:pPr>
    </w:p>
    <w:p w:rsidR="00357F8B" w:rsidRPr="00467C54" w:rsidRDefault="00357F8B" w:rsidP="005A0156">
      <w:pPr>
        <w:rPr>
          <w:rFonts w:asciiTheme="majorHAnsi" w:eastAsia="Times New Roman" w:hAnsiTheme="majorHAnsi" w:cs="Calibri"/>
          <w:color w:val="000000"/>
          <w:lang w:eastAsia="en-GB"/>
        </w:rPr>
      </w:pPr>
    </w:p>
    <w:p w:rsidR="00CC69AE" w:rsidRPr="00467C54" w:rsidRDefault="00CC69AE" w:rsidP="005A0156">
      <w:pPr>
        <w:rPr>
          <w:rFonts w:asciiTheme="majorHAnsi" w:eastAsia="Times New Roman" w:hAnsiTheme="majorHAnsi" w:cs="Calibri"/>
          <w:color w:val="000000"/>
          <w:lang w:eastAsia="en-GB"/>
        </w:rPr>
      </w:pPr>
    </w:p>
    <w:p w:rsidR="00CC69AE" w:rsidRPr="00467C54" w:rsidRDefault="00CC69AE" w:rsidP="00027DAC">
      <w:pPr>
        <w:ind w:left="-567" w:firstLine="141"/>
        <w:rPr>
          <w:rFonts w:asciiTheme="majorHAnsi" w:eastAsia="Times New Roman" w:hAnsiTheme="majorHAnsi" w:cs="Calibri"/>
          <w:color w:val="000000"/>
          <w:lang w:eastAsia="en-GB"/>
        </w:rPr>
      </w:pPr>
    </w:p>
    <w:bookmarkStart w:id="62" w:name="_Toc349398134"/>
    <w:bookmarkStart w:id="63" w:name="_Toc349398206"/>
    <w:bookmarkStart w:id="64" w:name="_Toc349399060"/>
    <w:bookmarkStart w:id="65" w:name="_Toc349475857"/>
    <w:p w:rsidR="00D036D4" w:rsidRPr="00467C54" w:rsidRDefault="009028AB" w:rsidP="003D78F9">
      <w:pPr>
        <w:pStyle w:val="Heading5"/>
        <w:jc w:val="center"/>
        <w:rPr>
          <w:rStyle w:val="Heading4Char"/>
          <w:b w:val="0"/>
          <w:i w:val="0"/>
        </w:rPr>
      </w:pPr>
      <w:r>
        <w:rPr>
          <w:bCs/>
          <w:iCs/>
          <w:noProof/>
          <w:color w:val="4F81BD" w:themeColor="accent1"/>
          <w:lang w:eastAsia="en-GB"/>
        </w:rPr>
        <mc:AlternateContent>
          <mc:Choice Requires="wps">
            <w:drawing>
              <wp:anchor distT="0" distB="0" distL="114300" distR="114300" simplePos="0" relativeHeight="251658240" behindDoc="0" locked="0" layoutInCell="1" allowOverlap="1">
                <wp:simplePos x="0" y="0"/>
                <wp:positionH relativeFrom="column">
                  <wp:posOffset>3924300</wp:posOffset>
                </wp:positionH>
                <wp:positionV relativeFrom="paragraph">
                  <wp:posOffset>1805940</wp:posOffset>
                </wp:positionV>
                <wp:extent cx="975360" cy="1051560"/>
                <wp:effectExtent l="9525" t="5715" r="5715" b="9525"/>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05156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09pt;margin-top:142.2pt;width:76.8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">
                <v:fill opacity="0"/>
              </v:oval>
            </w:pict>
          </mc:Fallback>
        </mc:AlternateContent>
      </w:r>
      <w:r w:rsidR="00D036D4" w:rsidRPr="00467C54">
        <w:rPr>
          <w:rStyle w:val="Heading4Char"/>
          <w:b w:val="0"/>
          <w:i w:val="0"/>
          <w:noProof/>
          <w:lang w:eastAsia="en-GB"/>
        </w:rPr>
        <w:drawing>
          <wp:inline distT="0" distB="0" distL="0" distR="0">
            <wp:extent cx="5731510" cy="3743239"/>
            <wp:effectExtent l="19050" t="0" r="2159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036D4" w:rsidRPr="00467C54" w:rsidRDefault="00D036D4" w:rsidP="003D78F9">
      <w:pPr>
        <w:pStyle w:val="Heading5"/>
        <w:jc w:val="center"/>
        <w:rPr>
          <w:rStyle w:val="Heading4Char"/>
          <w:b w:val="0"/>
          <w:i w:val="0"/>
        </w:rPr>
      </w:pPr>
    </w:p>
    <w:p w:rsidR="00C86696" w:rsidRPr="00467C54" w:rsidRDefault="00C86696" w:rsidP="003D78F9">
      <w:pPr>
        <w:pStyle w:val="Heading5"/>
        <w:jc w:val="center"/>
        <w:rPr>
          <w:rStyle w:val="Heading4Char"/>
          <w:b w:val="0"/>
          <w:i w:val="0"/>
        </w:rPr>
      </w:pPr>
      <w:bookmarkStart w:id="66" w:name="_Toc351020512"/>
      <w:bookmarkStart w:id="67" w:name="_Toc351020517"/>
      <w:bookmarkStart w:id="68" w:name="_Toc351130770"/>
      <w:r w:rsidRPr="00467C54">
        <w:rPr>
          <w:rStyle w:val="Heading4Char"/>
          <w:b w:val="0"/>
          <w:i w:val="0"/>
        </w:rPr>
        <w:t>Figure</w:t>
      </w:r>
      <w:r w:rsidR="00866153" w:rsidRPr="00467C54">
        <w:rPr>
          <w:rStyle w:val="Heading4Char"/>
          <w:b w:val="0"/>
          <w:i w:val="0"/>
        </w:rPr>
        <w:t xml:space="preserve"> 12.</w:t>
      </w:r>
      <w:r w:rsidRPr="00467C54">
        <w:rPr>
          <w:rStyle w:val="Heading4Char"/>
          <w:b w:val="0"/>
          <w:i w:val="0"/>
        </w:rPr>
        <w:t xml:space="preserve"> </w:t>
      </w:r>
      <w:r w:rsidR="00866153" w:rsidRPr="00467C54">
        <w:rPr>
          <w:rStyle w:val="Heading4Char"/>
          <w:b w:val="0"/>
          <w:i w:val="0"/>
        </w:rPr>
        <w:t>Bubbleplot with reversed items removed</w:t>
      </w:r>
      <w:bookmarkEnd w:id="62"/>
      <w:bookmarkEnd w:id="63"/>
      <w:bookmarkEnd w:id="64"/>
      <w:bookmarkEnd w:id="65"/>
      <w:bookmarkEnd w:id="66"/>
      <w:bookmarkEnd w:id="67"/>
      <w:bookmarkEnd w:id="68"/>
    </w:p>
    <w:p w:rsidR="001E5E3B" w:rsidRPr="00467C54" w:rsidRDefault="001E5E3B" w:rsidP="005A0156">
      <w:pPr>
        <w:rPr>
          <w:rStyle w:val="Heading4Char"/>
        </w:rPr>
      </w:pPr>
    </w:p>
    <w:p w:rsidR="00247323" w:rsidRPr="00467C54" w:rsidRDefault="001E5E3B" w:rsidP="005A0156">
      <w:pPr>
        <w:rPr>
          <w:rFonts w:asciiTheme="majorHAnsi" w:eastAsia="Times New Roman" w:hAnsiTheme="majorHAnsi" w:cs="Calibri"/>
          <w:color w:val="000000"/>
          <w:lang w:eastAsia="en-GB"/>
        </w:rPr>
      </w:pPr>
      <w:r w:rsidRPr="00467C54">
        <w:rPr>
          <w:rFonts w:asciiTheme="majorHAnsi" w:hAnsiTheme="majorHAnsi"/>
        </w:rPr>
        <w:t xml:space="preserve">In order to </w:t>
      </w:r>
      <w:r w:rsidR="00B21D2D" w:rsidRPr="00467C54">
        <w:rPr>
          <w:rFonts w:asciiTheme="majorHAnsi" w:hAnsiTheme="majorHAnsi"/>
        </w:rPr>
        <w:t>consider whether</w:t>
      </w:r>
      <w:r w:rsidRPr="00467C54">
        <w:rPr>
          <w:rFonts w:asciiTheme="majorHAnsi" w:hAnsiTheme="majorHAnsi"/>
        </w:rPr>
        <w:t xml:space="preserve"> we should keep items 12, 13, 14, 15, 18</w:t>
      </w:r>
      <w:r w:rsidRPr="00467C54">
        <w:rPr>
          <w:rFonts w:asciiTheme="majorHAnsi" w:eastAsia="Times New Roman" w:hAnsiTheme="majorHAnsi" w:cs="Calibri"/>
          <w:color w:val="000000"/>
          <w:lang w:eastAsia="en-GB"/>
        </w:rPr>
        <w:t xml:space="preserve"> and 19 </w:t>
      </w:r>
      <w:r w:rsidR="005E703F" w:rsidRPr="00467C54">
        <w:rPr>
          <w:rFonts w:asciiTheme="majorHAnsi" w:eastAsia="Times New Roman" w:hAnsiTheme="majorHAnsi" w:cs="Calibri"/>
          <w:color w:val="000000"/>
          <w:lang w:eastAsia="en-GB"/>
        </w:rPr>
        <w:t xml:space="preserve">(circled in figure 22) </w:t>
      </w:r>
      <w:r w:rsidR="00B21D2D" w:rsidRPr="00467C54">
        <w:rPr>
          <w:rFonts w:asciiTheme="majorHAnsi" w:eastAsia="Times New Roman" w:hAnsiTheme="majorHAnsi" w:cs="Calibri"/>
          <w:color w:val="000000"/>
          <w:lang w:eastAsia="en-GB"/>
        </w:rPr>
        <w:t xml:space="preserve">based on the Rasch analysis </w:t>
      </w:r>
      <w:r w:rsidRPr="00467C54">
        <w:rPr>
          <w:rFonts w:asciiTheme="majorHAnsi" w:eastAsia="Times New Roman" w:hAnsiTheme="majorHAnsi" w:cs="Calibri"/>
          <w:color w:val="000000"/>
          <w:lang w:eastAsia="en-GB"/>
        </w:rPr>
        <w:t xml:space="preserve">we need to go back to the factor analysis. </w:t>
      </w:r>
      <w:r w:rsidR="00247323" w:rsidRPr="00467C54">
        <w:rPr>
          <w:rFonts w:asciiTheme="majorHAnsi" w:eastAsia="Times New Roman" w:hAnsiTheme="majorHAnsi" w:cs="Calibri"/>
          <w:color w:val="000000"/>
          <w:lang w:eastAsia="en-GB"/>
        </w:rPr>
        <w:t xml:space="preserve">Remember we had a four-factor structure to explain the principal component </w:t>
      </w:r>
      <w:r w:rsidR="00B21D2D" w:rsidRPr="00467C54">
        <w:rPr>
          <w:rFonts w:asciiTheme="majorHAnsi" w:eastAsia="Times New Roman" w:hAnsiTheme="majorHAnsi" w:cs="Calibri"/>
          <w:color w:val="000000"/>
          <w:lang w:eastAsia="en-GB"/>
        </w:rPr>
        <w:t>structure</w:t>
      </w:r>
      <w:r w:rsidR="00247323" w:rsidRPr="00467C54">
        <w:rPr>
          <w:rFonts w:asciiTheme="majorHAnsi" w:eastAsia="Times New Roman" w:hAnsiTheme="majorHAnsi" w:cs="Calibri"/>
          <w:color w:val="000000"/>
          <w:lang w:eastAsia="en-GB"/>
        </w:rPr>
        <w:t>:</w:t>
      </w:r>
    </w:p>
    <w:p w:rsidR="00247323" w:rsidRPr="00467C54" w:rsidRDefault="00247323" w:rsidP="005A0156">
      <w:pPr>
        <w:rPr>
          <w:rFonts w:asciiTheme="majorHAnsi" w:eastAsia="Times New Roman" w:hAnsiTheme="majorHAnsi" w:cs="Calibri"/>
          <w:color w:val="000000"/>
          <w:lang w:eastAsia="en-GB"/>
        </w:rPr>
      </w:pPr>
    </w:p>
    <w:p w:rsidR="00247323" w:rsidRPr="00467C54" w:rsidRDefault="00247323" w:rsidP="005A0156">
      <w:pPr>
        <w:pStyle w:val="ListParagraph"/>
        <w:numPr>
          <w:ilvl w:val="0"/>
          <w:numId w:val="31"/>
        </w:numPr>
        <w:rPr>
          <w:rFonts w:asciiTheme="majorHAnsi" w:hAnsiTheme="majorHAnsi"/>
        </w:rPr>
      </w:pPr>
      <w:r w:rsidRPr="00467C54">
        <w:rPr>
          <w:rFonts w:asciiTheme="majorHAnsi" w:hAnsiTheme="majorHAnsi"/>
        </w:rPr>
        <w:t>My experience as an individual</w:t>
      </w:r>
    </w:p>
    <w:p w:rsidR="00247323" w:rsidRPr="00467C54" w:rsidRDefault="00247323" w:rsidP="005A0156">
      <w:pPr>
        <w:pStyle w:val="ListParagraph"/>
        <w:numPr>
          <w:ilvl w:val="0"/>
          <w:numId w:val="31"/>
        </w:numPr>
        <w:rPr>
          <w:rFonts w:asciiTheme="majorHAnsi" w:hAnsiTheme="majorHAnsi"/>
        </w:rPr>
      </w:pPr>
      <w:r w:rsidRPr="00467C54">
        <w:rPr>
          <w:rFonts w:asciiTheme="majorHAnsi" w:hAnsiTheme="majorHAnsi"/>
        </w:rPr>
        <w:t>My experience with my direct line manager</w:t>
      </w:r>
    </w:p>
    <w:p w:rsidR="00247323" w:rsidRPr="00467C54" w:rsidRDefault="00247323" w:rsidP="005A0156">
      <w:pPr>
        <w:pStyle w:val="ListParagraph"/>
        <w:numPr>
          <w:ilvl w:val="0"/>
          <w:numId w:val="31"/>
        </w:numPr>
        <w:rPr>
          <w:rFonts w:asciiTheme="majorHAnsi" w:hAnsiTheme="majorHAnsi"/>
        </w:rPr>
      </w:pPr>
      <w:r w:rsidRPr="00467C54">
        <w:rPr>
          <w:rFonts w:asciiTheme="majorHAnsi" w:hAnsiTheme="majorHAnsi"/>
        </w:rPr>
        <w:t>My experience with my team</w:t>
      </w:r>
    </w:p>
    <w:p w:rsidR="00247323" w:rsidRPr="00467C54" w:rsidRDefault="00247323" w:rsidP="005A0156">
      <w:pPr>
        <w:pStyle w:val="ListParagraph"/>
        <w:numPr>
          <w:ilvl w:val="0"/>
          <w:numId w:val="31"/>
        </w:numPr>
        <w:rPr>
          <w:rFonts w:asciiTheme="majorHAnsi" w:hAnsiTheme="majorHAnsi"/>
        </w:rPr>
      </w:pPr>
      <w:r w:rsidRPr="00467C54">
        <w:rPr>
          <w:rFonts w:asciiTheme="majorHAnsi" w:hAnsiTheme="majorHAnsi"/>
        </w:rPr>
        <w:t>My experience with my organisation</w:t>
      </w:r>
    </w:p>
    <w:p w:rsidR="00247323" w:rsidRPr="00467C54" w:rsidRDefault="00247323" w:rsidP="005A0156">
      <w:pPr>
        <w:rPr>
          <w:rFonts w:asciiTheme="majorHAnsi" w:eastAsia="Times New Roman" w:hAnsiTheme="majorHAnsi" w:cs="Calibri"/>
          <w:color w:val="000000"/>
          <w:lang w:eastAsia="en-GB"/>
        </w:rPr>
      </w:pPr>
    </w:p>
    <w:p w:rsidR="005F6E8D" w:rsidRPr="00467C54" w:rsidRDefault="001E5E3B"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Items 13 – 19 entail factors 3 &amp; 4</w:t>
      </w:r>
      <w:r w:rsidR="00B21D2D" w:rsidRPr="00467C54">
        <w:rPr>
          <w:rFonts w:asciiTheme="majorHAnsi" w:eastAsia="Times New Roman" w:hAnsiTheme="majorHAnsi" w:cs="Calibri"/>
          <w:color w:val="000000"/>
          <w:lang w:eastAsia="en-GB"/>
        </w:rPr>
        <w:t xml:space="preserve"> (figure </w:t>
      </w:r>
      <w:r w:rsidR="00866153" w:rsidRPr="00467C54">
        <w:rPr>
          <w:rFonts w:asciiTheme="majorHAnsi" w:eastAsia="Times New Roman" w:hAnsiTheme="majorHAnsi" w:cs="Calibri"/>
          <w:color w:val="000000"/>
          <w:lang w:eastAsia="en-GB"/>
        </w:rPr>
        <w:t>8</w:t>
      </w:r>
      <w:r w:rsidR="00B21D2D" w:rsidRPr="00467C54">
        <w:rPr>
          <w:rFonts w:asciiTheme="majorHAnsi" w:eastAsia="Times New Roman" w:hAnsiTheme="majorHAnsi" w:cs="Calibri"/>
          <w:color w:val="000000"/>
          <w:lang w:eastAsia="en-GB"/>
        </w:rPr>
        <w:t>)</w:t>
      </w:r>
      <w:r w:rsidRPr="00467C54">
        <w:rPr>
          <w:rFonts w:asciiTheme="majorHAnsi" w:eastAsia="Times New Roman" w:hAnsiTheme="majorHAnsi" w:cs="Calibri"/>
          <w:color w:val="000000"/>
          <w:lang w:eastAsia="en-GB"/>
        </w:rPr>
        <w:t xml:space="preserve">. If we remove them because of issues with item fit we would not just be removing 5 misfitting items but more significantly we would be removing 2 of the four factors we found in the principal component analysis. </w:t>
      </w:r>
      <w:r w:rsidR="00725BA8" w:rsidRPr="00467C54">
        <w:rPr>
          <w:rFonts w:asciiTheme="majorHAnsi" w:eastAsia="Times New Roman" w:hAnsiTheme="majorHAnsi" w:cs="Calibri"/>
          <w:color w:val="000000"/>
          <w:lang w:eastAsia="en-GB"/>
        </w:rPr>
        <w:t xml:space="preserve">We would be claiming that items about my direct line manager are irrelevant to staff engagement. </w:t>
      </w:r>
      <w:r w:rsidRPr="00467C54">
        <w:rPr>
          <w:rFonts w:asciiTheme="majorHAnsi" w:eastAsia="Times New Roman" w:hAnsiTheme="majorHAnsi" w:cs="Calibri"/>
          <w:color w:val="000000"/>
          <w:lang w:eastAsia="en-GB"/>
        </w:rPr>
        <w:t>This would be unjustifiable</w:t>
      </w:r>
      <w:r w:rsidR="00725BA8" w:rsidRPr="00467C54">
        <w:rPr>
          <w:rFonts w:asciiTheme="majorHAnsi" w:eastAsia="Times New Roman" w:hAnsiTheme="majorHAnsi" w:cs="Calibri"/>
          <w:color w:val="000000"/>
          <w:lang w:eastAsia="en-GB"/>
        </w:rPr>
        <w:t>, and shows why summary statistics always need to be interpreted with caution</w:t>
      </w:r>
      <w:r w:rsidRPr="00467C54">
        <w:rPr>
          <w:rFonts w:asciiTheme="majorHAnsi" w:eastAsia="Times New Roman" w:hAnsiTheme="majorHAnsi" w:cs="Calibri"/>
          <w:color w:val="000000"/>
          <w:lang w:eastAsia="en-GB"/>
        </w:rPr>
        <w:t>. Item 12 is a little more problematic</w:t>
      </w:r>
      <w:r w:rsidR="00F1125E" w:rsidRPr="00467C54">
        <w:rPr>
          <w:rFonts w:asciiTheme="majorHAnsi" w:eastAsia="Times New Roman" w:hAnsiTheme="majorHAnsi" w:cs="Calibri"/>
          <w:color w:val="000000"/>
          <w:lang w:eastAsia="en-GB"/>
        </w:rPr>
        <w:t xml:space="preserve"> to justify from a purely psychometric perspective</w:t>
      </w:r>
      <w:r w:rsidR="00AB75E5" w:rsidRPr="00467C54">
        <w:rPr>
          <w:rFonts w:asciiTheme="majorHAnsi" w:eastAsia="Times New Roman" w:hAnsiTheme="majorHAnsi" w:cs="Calibri"/>
          <w:color w:val="000000"/>
          <w:lang w:eastAsia="en-GB"/>
        </w:rPr>
        <w:t>. It is only moderately</w:t>
      </w:r>
      <w:r w:rsidRPr="00467C54">
        <w:rPr>
          <w:rFonts w:asciiTheme="majorHAnsi" w:eastAsia="Times New Roman" w:hAnsiTheme="majorHAnsi" w:cs="Calibri"/>
          <w:color w:val="000000"/>
          <w:lang w:eastAsia="en-GB"/>
        </w:rPr>
        <w:t xml:space="preserve"> associated </w:t>
      </w:r>
      <w:r w:rsidR="00AB75E5" w:rsidRPr="00467C54">
        <w:rPr>
          <w:rFonts w:asciiTheme="majorHAnsi" w:eastAsia="Times New Roman" w:hAnsiTheme="majorHAnsi" w:cs="Calibri"/>
          <w:color w:val="000000"/>
          <w:lang w:eastAsia="en-GB"/>
        </w:rPr>
        <w:t xml:space="preserve">(.432) </w:t>
      </w:r>
      <w:r w:rsidRPr="00467C54">
        <w:rPr>
          <w:rFonts w:asciiTheme="majorHAnsi" w:eastAsia="Times New Roman" w:hAnsiTheme="majorHAnsi" w:cs="Calibri"/>
          <w:color w:val="000000"/>
          <w:lang w:eastAsia="en-GB"/>
        </w:rPr>
        <w:t xml:space="preserve">with factor 1 and therefore doesn’t add a great deal of extra information to </w:t>
      </w:r>
      <w:r w:rsidR="00247323" w:rsidRPr="00467C54">
        <w:rPr>
          <w:rFonts w:asciiTheme="majorHAnsi" w:eastAsia="Times New Roman" w:hAnsiTheme="majorHAnsi" w:cs="Calibri"/>
          <w:color w:val="000000"/>
          <w:lang w:eastAsia="en-GB"/>
        </w:rPr>
        <w:t xml:space="preserve">‘my experience as an individual’. </w:t>
      </w:r>
      <w:r w:rsidR="00F1125E" w:rsidRPr="00467C54">
        <w:rPr>
          <w:rFonts w:asciiTheme="majorHAnsi" w:eastAsia="Times New Roman" w:hAnsiTheme="majorHAnsi" w:cs="Calibri"/>
          <w:color w:val="000000"/>
          <w:lang w:eastAsia="en-GB"/>
        </w:rPr>
        <w:t xml:space="preserve">It is a poor fit with the Rasch model. </w:t>
      </w:r>
      <w:r w:rsidR="00247323" w:rsidRPr="00467C54">
        <w:rPr>
          <w:rFonts w:asciiTheme="majorHAnsi" w:eastAsia="Times New Roman" w:hAnsiTheme="majorHAnsi" w:cs="Calibri"/>
          <w:color w:val="000000"/>
          <w:lang w:eastAsia="en-GB"/>
        </w:rPr>
        <w:t xml:space="preserve">However, it is a very interesting item in itself. </w:t>
      </w:r>
      <w:r w:rsidR="00F1125E" w:rsidRPr="00467C54">
        <w:rPr>
          <w:rFonts w:asciiTheme="majorHAnsi" w:eastAsia="Times New Roman" w:hAnsiTheme="majorHAnsi" w:cs="Calibri"/>
          <w:color w:val="000000"/>
          <w:lang w:eastAsia="en-GB"/>
        </w:rPr>
        <w:t>As well as being mainly associated with factor 1 is also associated with factor 2 (</w:t>
      </w:r>
      <w:r w:rsidR="00AB75E5" w:rsidRPr="00467C54">
        <w:rPr>
          <w:rFonts w:asciiTheme="majorHAnsi" w:eastAsia="Times New Roman" w:hAnsiTheme="majorHAnsi" w:cs="Calibri"/>
          <w:color w:val="000000"/>
          <w:lang w:eastAsia="en-GB"/>
        </w:rPr>
        <w:t xml:space="preserve">.341) and factor 4 (.403) suggesting it contributes widely but not selectively to most factors. </w:t>
      </w:r>
      <w:r w:rsidR="005F6E8D" w:rsidRPr="00467C54">
        <w:rPr>
          <w:rFonts w:asciiTheme="majorHAnsi" w:eastAsia="Times New Roman" w:hAnsiTheme="majorHAnsi" w:cs="Calibri"/>
          <w:color w:val="000000"/>
          <w:lang w:eastAsia="en-GB"/>
        </w:rPr>
        <w:t xml:space="preserve">It is not easily pigeonholed, but </w:t>
      </w:r>
      <w:r w:rsidR="00247323" w:rsidRPr="00467C54">
        <w:rPr>
          <w:rFonts w:asciiTheme="majorHAnsi" w:eastAsia="Times New Roman" w:hAnsiTheme="majorHAnsi" w:cs="Calibri"/>
          <w:color w:val="000000"/>
          <w:lang w:eastAsia="en-GB"/>
        </w:rPr>
        <w:t xml:space="preserve">‘my work gives me a sense of achievement’ is </w:t>
      </w:r>
      <w:r w:rsidR="00725BA8" w:rsidRPr="00467C54">
        <w:rPr>
          <w:rFonts w:asciiTheme="majorHAnsi" w:eastAsia="Times New Roman" w:hAnsiTheme="majorHAnsi" w:cs="Calibri"/>
          <w:color w:val="000000"/>
          <w:lang w:eastAsia="en-GB"/>
        </w:rPr>
        <w:t>also clearly</w:t>
      </w:r>
      <w:r w:rsidR="00AB75E5" w:rsidRPr="00467C54">
        <w:rPr>
          <w:rFonts w:asciiTheme="majorHAnsi" w:eastAsia="Times New Roman" w:hAnsiTheme="majorHAnsi" w:cs="Calibri"/>
          <w:color w:val="000000"/>
          <w:lang w:eastAsia="en-GB"/>
        </w:rPr>
        <w:t xml:space="preserve"> </w:t>
      </w:r>
      <w:r w:rsidR="00247323" w:rsidRPr="00467C54">
        <w:rPr>
          <w:rFonts w:asciiTheme="majorHAnsi" w:eastAsia="Times New Roman" w:hAnsiTheme="majorHAnsi" w:cs="Calibri"/>
          <w:color w:val="000000"/>
          <w:lang w:eastAsia="en-GB"/>
        </w:rPr>
        <w:t xml:space="preserve">important information to understand. </w:t>
      </w:r>
    </w:p>
    <w:p w:rsidR="00B21D2D" w:rsidRPr="00467C54" w:rsidRDefault="00B21D2D" w:rsidP="005A0156">
      <w:pPr>
        <w:rPr>
          <w:rFonts w:asciiTheme="majorHAnsi" w:eastAsia="Times New Roman" w:hAnsiTheme="majorHAnsi" w:cs="Calibri"/>
          <w:color w:val="000000"/>
          <w:lang w:eastAsia="en-GB"/>
        </w:rPr>
      </w:pPr>
    </w:p>
    <w:p w:rsidR="00B21D2D" w:rsidRPr="00467C54" w:rsidRDefault="00B21D2D"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In summary, from detailed individual item analysis based on a variety of measures and analyses we would recommend that all </w:t>
      </w:r>
      <w:r w:rsidR="00725BA8" w:rsidRPr="00467C54">
        <w:rPr>
          <w:rFonts w:asciiTheme="majorHAnsi" w:eastAsia="Times New Roman" w:hAnsiTheme="majorHAnsi" w:cs="Calibri"/>
          <w:color w:val="000000"/>
          <w:lang w:eastAsia="en-GB"/>
        </w:rPr>
        <w:t xml:space="preserve">28 </w:t>
      </w:r>
      <w:r w:rsidRPr="00467C54">
        <w:rPr>
          <w:rFonts w:asciiTheme="majorHAnsi" w:eastAsia="Times New Roman" w:hAnsiTheme="majorHAnsi" w:cs="Calibri"/>
          <w:color w:val="000000"/>
          <w:lang w:eastAsia="en-GB"/>
        </w:rPr>
        <w:t>items are kept</w:t>
      </w:r>
      <w:r w:rsidR="002B20AA" w:rsidRPr="00467C54">
        <w:rPr>
          <w:rFonts w:asciiTheme="majorHAnsi" w:eastAsia="Times New Roman" w:hAnsiTheme="majorHAnsi" w:cs="Calibri"/>
          <w:color w:val="000000"/>
          <w:lang w:eastAsia="en-GB"/>
        </w:rPr>
        <w:t xml:space="preserve"> for the final NHSEEI</w:t>
      </w:r>
      <w:r w:rsidRPr="00467C54">
        <w:rPr>
          <w:rFonts w:asciiTheme="majorHAnsi" w:eastAsia="Times New Roman" w:hAnsiTheme="majorHAnsi" w:cs="Calibri"/>
          <w:color w:val="000000"/>
          <w:lang w:eastAsia="en-GB"/>
        </w:rPr>
        <w:t xml:space="preserve">, but that </w:t>
      </w:r>
      <w:r w:rsidR="002B20AA" w:rsidRPr="00467C54">
        <w:rPr>
          <w:rFonts w:asciiTheme="majorHAnsi" w:eastAsia="Times New Roman" w:hAnsiTheme="majorHAnsi" w:cs="Calibri"/>
          <w:color w:val="000000"/>
          <w:lang w:eastAsia="en-GB"/>
        </w:rPr>
        <w:t xml:space="preserve">the reversed items revert to positive statements in line with the rest of the questionnaire. Illogical responses to these reversed items offer the most salient explanation of the erroneous behaviour of these items within both the factor and Rasch analyses. No other items demonstrate this behaviour. </w:t>
      </w:r>
    </w:p>
    <w:p w:rsidR="0060770C" w:rsidRPr="00467C54" w:rsidRDefault="0060770C" w:rsidP="005A0156">
      <w:pPr>
        <w:pStyle w:val="Heading3"/>
        <w:rPr>
          <w:lang w:eastAsia="en-GB"/>
        </w:rPr>
      </w:pPr>
      <w:bookmarkStart w:id="69" w:name="_Toc351201889"/>
      <w:r w:rsidRPr="00467C54">
        <w:rPr>
          <w:lang w:eastAsia="en-GB"/>
        </w:rPr>
        <w:t>Is engagement related to role?</w:t>
      </w:r>
      <w:bookmarkEnd w:id="69"/>
    </w:p>
    <w:p w:rsidR="0060770C" w:rsidRPr="00467C54" w:rsidRDefault="0060770C" w:rsidP="005A0156">
      <w:pPr>
        <w:rPr>
          <w:rFonts w:asciiTheme="majorHAnsi" w:hAnsiTheme="majorHAnsi"/>
          <w:lang w:eastAsia="en-GB"/>
        </w:rPr>
      </w:pPr>
    </w:p>
    <w:p w:rsidR="0060770C" w:rsidRPr="00467C54" w:rsidRDefault="0060770C" w:rsidP="005A0156">
      <w:pPr>
        <w:rPr>
          <w:rFonts w:asciiTheme="majorHAnsi" w:hAnsiTheme="majorHAnsi"/>
          <w:lang w:eastAsia="en-GB"/>
        </w:rPr>
      </w:pPr>
      <w:r w:rsidRPr="00467C54">
        <w:rPr>
          <w:rFonts w:asciiTheme="majorHAnsi" w:hAnsiTheme="majorHAnsi"/>
          <w:lang w:eastAsia="en-GB"/>
        </w:rPr>
        <w:t xml:space="preserve">We saw from figure </w:t>
      </w:r>
      <w:r w:rsidR="005C0719" w:rsidRPr="00467C54">
        <w:rPr>
          <w:rFonts w:asciiTheme="majorHAnsi" w:hAnsiTheme="majorHAnsi"/>
          <w:lang w:eastAsia="en-GB"/>
        </w:rPr>
        <w:t>3</w:t>
      </w:r>
      <w:r w:rsidRPr="00467C54">
        <w:rPr>
          <w:rFonts w:asciiTheme="majorHAnsi" w:hAnsiTheme="majorHAnsi"/>
          <w:lang w:eastAsia="en-GB"/>
        </w:rPr>
        <w:t xml:space="preserve"> that there appeared to be differences between the levels of engagement according to role. Here we analyse</w:t>
      </w:r>
      <w:r w:rsidR="00F601E7" w:rsidRPr="00467C54">
        <w:rPr>
          <w:rFonts w:asciiTheme="majorHAnsi" w:hAnsiTheme="majorHAnsi"/>
          <w:lang w:eastAsia="en-GB"/>
        </w:rPr>
        <w:t>d</w:t>
      </w:r>
      <w:r w:rsidRPr="00467C54">
        <w:rPr>
          <w:rFonts w:asciiTheme="majorHAnsi" w:hAnsiTheme="majorHAnsi"/>
          <w:lang w:eastAsia="en-GB"/>
        </w:rPr>
        <w:t xml:space="preserve"> these differences statistically. Analysis of variance </w:t>
      </w:r>
      <w:r w:rsidR="00754BCC" w:rsidRPr="00467C54">
        <w:rPr>
          <w:rFonts w:asciiTheme="majorHAnsi" w:hAnsiTheme="majorHAnsi"/>
          <w:lang w:eastAsia="en-GB"/>
        </w:rPr>
        <w:t>(one way ANOVA</w:t>
      </w:r>
      <w:r w:rsidR="005C0719" w:rsidRPr="00467C54">
        <w:rPr>
          <w:rFonts w:asciiTheme="majorHAnsi" w:hAnsiTheme="majorHAnsi"/>
          <w:lang w:eastAsia="en-GB"/>
        </w:rPr>
        <w:t>, table 3</w:t>
      </w:r>
      <w:r w:rsidR="00754BCC" w:rsidRPr="00467C54">
        <w:rPr>
          <w:rFonts w:asciiTheme="majorHAnsi" w:hAnsiTheme="majorHAnsi"/>
          <w:lang w:eastAsia="en-GB"/>
        </w:rPr>
        <w:t xml:space="preserve">) </w:t>
      </w:r>
      <w:r w:rsidRPr="00467C54">
        <w:rPr>
          <w:rFonts w:asciiTheme="majorHAnsi" w:hAnsiTheme="majorHAnsi"/>
          <w:lang w:eastAsia="en-GB"/>
        </w:rPr>
        <w:t>was run</w:t>
      </w:r>
      <w:r w:rsidR="00754BCC" w:rsidRPr="00467C54">
        <w:rPr>
          <w:rFonts w:asciiTheme="majorHAnsi" w:hAnsiTheme="majorHAnsi"/>
          <w:lang w:eastAsia="en-GB"/>
        </w:rPr>
        <w:t xml:space="preserve"> for all groups and was highly significant (p&lt;0.000):</w:t>
      </w:r>
    </w:p>
    <w:p w:rsidR="005C2B13" w:rsidRPr="00467C54" w:rsidRDefault="005C2B13" w:rsidP="005C2B13">
      <w:pPr>
        <w:autoSpaceDE w:val="0"/>
        <w:autoSpaceDN w:val="0"/>
        <w:adjustRightInd w:val="0"/>
        <w:jc w:val="left"/>
        <w:rPr>
          <w:rFonts w:asciiTheme="majorHAnsi" w:hAnsiTheme="majorHAnsi" w:cs="Times New Roman"/>
          <w:sz w:val="24"/>
          <w:szCs w:val="24"/>
        </w:rPr>
      </w:pPr>
    </w:p>
    <w:tbl>
      <w:tblPr>
        <w:tblW w:w="75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79"/>
        <w:gridCol w:w="1000"/>
        <w:gridCol w:w="1000"/>
      </w:tblGrid>
      <w:tr w:rsidR="005C2B13" w:rsidRPr="00467C54" w:rsidTr="00D84A19">
        <w:trPr>
          <w:cantSplit/>
          <w:jc w:val="center"/>
        </w:trPr>
        <w:tc>
          <w:tcPr>
            <w:tcW w:w="7501" w:type="dxa"/>
            <w:gridSpan w:val="6"/>
            <w:tcBorders>
              <w:top w:val="nil"/>
              <w:left w:val="nil"/>
              <w:bottom w:val="nil"/>
              <w:right w:val="nil"/>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b/>
                <w:bCs/>
                <w:color w:val="000000"/>
                <w:sz w:val="18"/>
                <w:szCs w:val="18"/>
              </w:rPr>
              <w:t>ANOVA</w:t>
            </w:r>
          </w:p>
        </w:tc>
      </w:tr>
      <w:tr w:rsidR="005C2B13" w:rsidRPr="00467C54" w:rsidTr="00D84A19">
        <w:trPr>
          <w:cantSplit/>
          <w:jc w:val="center"/>
        </w:trPr>
        <w:tc>
          <w:tcPr>
            <w:tcW w:w="7501" w:type="dxa"/>
            <w:gridSpan w:val="6"/>
            <w:tcBorders>
              <w:top w:val="nil"/>
              <w:left w:val="nil"/>
              <w:bottom w:val="nil"/>
              <w:right w:val="nil"/>
            </w:tcBorders>
            <w:shd w:val="clear" w:color="auto" w:fill="FFFFFF"/>
            <w:vAlign w:val="bottom"/>
          </w:tcPr>
          <w:p w:rsidR="005C2B13" w:rsidRPr="00467C54" w:rsidRDefault="005C2B13" w:rsidP="005C2B13">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Total NHSEEI</w:t>
            </w:r>
          </w:p>
        </w:tc>
      </w:tr>
      <w:tr w:rsidR="005C2B13" w:rsidRPr="00467C54" w:rsidTr="00D84A19">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left"/>
              <w:rPr>
                <w:rFonts w:asciiTheme="majorHAnsi" w:hAnsiTheme="majorHAnsi" w:cs="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df</w:t>
            </w:r>
          </w:p>
        </w:tc>
        <w:tc>
          <w:tcPr>
            <w:tcW w:w="1379" w:type="dxa"/>
            <w:tcBorders>
              <w:top w:val="single" w:sz="16" w:space="0" w:color="000000"/>
              <w:bottom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5C2B13" w:rsidRPr="00467C54" w:rsidRDefault="005C2B13" w:rsidP="005C2B13">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Sig.</w:t>
            </w:r>
          </w:p>
        </w:tc>
      </w:tr>
      <w:tr w:rsidR="005C2B13" w:rsidRPr="00467C54" w:rsidTr="00D84A19">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Between Groups</w:t>
            </w:r>
          </w:p>
        </w:tc>
        <w:tc>
          <w:tcPr>
            <w:tcW w:w="1455" w:type="dxa"/>
            <w:tcBorders>
              <w:top w:val="single" w:sz="16" w:space="0" w:color="000000"/>
              <w:left w:val="single" w:sz="16" w:space="0" w:color="000000"/>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22185.427</w:t>
            </w:r>
          </w:p>
        </w:tc>
        <w:tc>
          <w:tcPr>
            <w:tcW w:w="1000" w:type="dxa"/>
            <w:tcBorders>
              <w:top w:val="single" w:sz="16" w:space="0" w:color="000000"/>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7</w:t>
            </w:r>
          </w:p>
        </w:tc>
        <w:tc>
          <w:tcPr>
            <w:tcW w:w="1379" w:type="dxa"/>
            <w:tcBorders>
              <w:top w:val="single" w:sz="16" w:space="0" w:color="000000"/>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3169.347</w:t>
            </w:r>
          </w:p>
        </w:tc>
        <w:tc>
          <w:tcPr>
            <w:tcW w:w="1000" w:type="dxa"/>
            <w:tcBorders>
              <w:top w:val="single" w:sz="16" w:space="0" w:color="000000"/>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7.804</w:t>
            </w:r>
          </w:p>
        </w:tc>
        <w:tc>
          <w:tcPr>
            <w:tcW w:w="1000" w:type="dxa"/>
            <w:tcBorders>
              <w:top w:val="single" w:sz="16" w:space="0" w:color="000000"/>
              <w:bottom w:val="nil"/>
              <w:right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.000</w:t>
            </w:r>
          </w:p>
        </w:tc>
      </w:tr>
      <w:tr w:rsidR="005C2B13" w:rsidRPr="00467C54" w:rsidTr="00D84A19">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Within Groups</w:t>
            </w:r>
          </w:p>
        </w:tc>
        <w:tc>
          <w:tcPr>
            <w:tcW w:w="1455" w:type="dxa"/>
            <w:tcBorders>
              <w:top w:val="nil"/>
              <w:left w:val="single" w:sz="16" w:space="0" w:color="000000"/>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472344.494</w:t>
            </w:r>
          </w:p>
        </w:tc>
        <w:tc>
          <w:tcPr>
            <w:tcW w:w="1000" w:type="dxa"/>
            <w:tcBorders>
              <w:top w:val="nil"/>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1163</w:t>
            </w:r>
          </w:p>
        </w:tc>
        <w:tc>
          <w:tcPr>
            <w:tcW w:w="1379" w:type="dxa"/>
            <w:tcBorders>
              <w:top w:val="nil"/>
              <w:bottom w:val="nil"/>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406.143</w:t>
            </w:r>
          </w:p>
        </w:tc>
        <w:tc>
          <w:tcPr>
            <w:tcW w:w="1000" w:type="dxa"/>
            <w:tcBorders>
              <w:top w:val="nil"/>
              <w:bottom w:val="nil"/>
            </w:tcBorders>
            <w:shd w:val="clear" w:color="auto" w:fill="FFFFFF"/>
          </w:tcPr>
          <w:p w:rsidR="005C2B13" w:rsidRPr="00467C54" w:rsidRDefault="005C2B13" w:rsidP="005C2B13">
            <w:pPr>
              <w:autoSpaceDE w:val="0"/>
              <w:autoSpaceDN w:val="0"/>
              <w:adjustRightInd w:val="0"/>
              <w:jc w:val="left"/>
              <w:rPr>
                <w:rFonts w:asciiTheme="majorHAnsi" w:hAnsiTheme="majorHAnsi" w:cs="Times New Roman"/>
                <w:sz w:val="24"/>
                <w:szCs w:val="24"/>
              </w:rPr>
            </w:pPr>
          </w:p>
        </w:tc>
        <w:tc>
          <w:tcPr>
            <w:tcW w:w="1000" w:type="dxa"/>
            <w:tcBorders>
              <w:top w:val="nil"/>
              <w:bottom w:val="nil"/>
              <w:right w:val="single" w:sz="16" w:space="0" w:color="000000"/>
            </w:tcBorders>
            <w:shd w:val="clear" w:color="auto" w:fill="FFFFFF"/>
          </w:tcPr>
          <w:p w:rsidR="005C2B13" w:rsidRPr="00467C54" w:rsidRDefault="005C2B13" w:rsidP="005C2B13">
            <w:pPr>
              <w:autoSpaceDE w:val="0"/>
              <w:autoSpaceDN w:val="0"/>
              <w:adjustRightInd w:val="0"/>
              <w:jc w:val="left"/>
              <w:rPr>
                <w:rFonts w:asciiTheme="majorHAnsi" w:hAnsiTheme="majorHAnsi" w:cs="Times New Roman"/>
                <w:sz w:val="24"/>
                <w:szCs w:val="24"/>
              </w:rPr>
            </w:pPr>
          </w:p>
        </w:tc>
      </w:tr>
      <w:tr w:rsidR="005C2B13" w:rsidRPr="00467C54" w:rsidTr="00D84A19">
        <w:trPr>
          <w:cantSplit/>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494529.921</w:t>
            </w:r>
          </w:p>
        </w:tc>
        <w:tc>
          <w:tcPr>
            <w:tcW w:w="1000" w:type="dxa"/>
            <w:tcBorders>
              <w:top w:val="nil"/>
              <w:bottom w:val="single" w:sz="16" w:space="0" w:color="000000"/>
            </w:tcBorders>
            <w:shd w:val="clear" w:color="auto" w:fill="FFFFFF"/>
            <w:vAlign w:val="center"/>
          </w:tcPr>
          <w:p w:rsidR="005C2B13" w:rsidRPr="00467C54" w:rsidRDefault="005C2B13" w:rsidP="005C2B13">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1170</w:t>
            </w:r>
          </w:p>
        </w:tc>
        <w:tc>
          <w:tcPr>
            <w:tcW w:w="1379" w:type="dxa"/>
            <w:tcBorders>
              <w:top w:val="nil"/>
              <w:bottom w:val="single" w:sz="16" w:space="0" w:color="000000"/>
            </w:tcBorders>
            <w:shd w:val="clear" w:color="auto" w:fill="FFFFFF"/>
          </w:tcPr>
          <w:p w:rsidR="005C2B13" w:rsidRPr="00467C54" w:rsidRDefault="005C2B13" w:rsidP="005C2B13">
            <w:pPr>
              <w:autoSpaceDE w:val="0"/>
              <w:autoSpaceDN w:val="0"/>
              <w:adjustRightInd w:val="0"/>
              <w:jc w:val="left"/>
              <w:rPr>
                <w:rFonts w:asciiTheme="majorHAnsi" w:hAnsiTheme="majorHAnsi" w:cs="Times New Roman"/>
                <w:sz w:val="24"/>
                <w:szCs w:val="24"/>
              </w:rPr>
            </w:pPr>
          </w:p>
        </w:tc>
        <w:tc>
          <w:tcPr>
            <w:tcW w:w="1000" w:type="dxa"/>
            <w:tcBorders>
              <w:top w:val="nil"/>
              <w:bottom w:val="single" w:sz="16" w:space="0" w:color="000000"/>
            </w:tcBorders>
            <w:shd w:val="clear" w:color="auto" w:fill="FFFFFF"/>
          </w:tcPr>
          <w:p w:rsidR="005C2B13" w:rsidRPr="00467C54" w:rsidRDefault="005C2B13" w:rsidP="005C2B13">
            <w:pPr>
              <w:autoSpaceDE w:val="0"/>
              <w:autoSpaceDN w:val="0"/>
              <w:adjustRightInd w:val="0"/>
              <w:jc w:val="left"/>
              <w:rPr>
                <w:rFonts w:asciiTheme="majorHAnsi" w:hAnsiTheme="majorHAnsi" w:cs="Times New Roman"/>
                <w:sz w:val="24"/>
                <w:szCs w:val="24"/>
              </w:rPr>
            </w:pPr>
          </w:p>
        </w:tc>
        <w:tc>
          <w:tcPr>
            <w:tcW w:w="1000" w:type="dxa"/>
            <w:tcBorders>
              <w:top w:val="nil"/>
              <w:bottom w:val="single" w:sz="16" w:space="0" w:color="000000"/>
              <w:right w:val="single" w:sz="16" w:space="0" w:color="000000"/>
            </w:tcBorders>
            <w:shd w:val="clear" w:color="auto" w:fill="FFFFFF"/>
          </w:tcPr>
          <w:p w:rsidR="005C2B13" w:rsidRPr="00467C54" w:rsidRDefault="005C2B13" w:rsidP="005C2B13">
            <w:pPr>
              <w:autoSpaceDE w:val="0"/>
              <w:autoSpaceDN w:val="0"/>
              <w:adjustRightInd w:val="0"/>
              <w:jc w:val="left"/>
              <w:rPr>
                <w:rFonts w:asciiTheme="majorHAnsi" w:hAnsiTheme="majorHAnsi" w:cs="Times New Roman"/>
                <w:sz w:val="24"/>
                <w:szCs w:val="24"/>
              </w:rPr>
            </w:pPr>
          </w:p>
        </w:tc>
      </w:tr>
    </w:tbl>
    <w:p w:rsidR="00946240" w:rsidRPr="00467C54" w:rsidRDefault="00946240" w:rsidP="005A0156">
      <w:pPr>
        <w:pStyle w:val="Heading4"/>
        <w:rPr>
          <w:lang w:eastAsia="en-GB"/>
        </w:rPr>
      </w:pPr>
      <w:bookmarkStart w:id="70" w:name="_Toc349398135"/>
      <w:bookmarkStart w:id="71" w:name="_Toc349398207"/>
      <w:bookmarkStart w:id="72" w:name="_Toc351130771"/>
      <w:r w:rsidRPr="00467C54">
        <w:rPr>
          <w:lang w:eastAsia="en-GB"/>
        </w:rPr>
        <w:t xml:space="preserve">Table </w:t>
      </w:r>
      <w:r w:rsidR="00866153" w:rsidRPr="00467C54">
        <w:rPr>
          <w:lang w:eastAsia="en-GB"/>
        </w:rPr>
        <w:t xml:space="preserve">3. </w:t>
      </w:r>
      <w:r w:rsidRPr="00467C54">
        <w:rPr>
          <w:lang w:eastAsia="en-GB"/>
        </w:rPr>
        <w:t>ANOVA</w:t>
      </w:r>
      <w:r w:rsidR="005C0719" w:rsidRPr="00467C54">
        <w:rPr>
          <w:lang w:eastAsia="en-GB"/>
        </w:rPr>
        <w:t xml:space="preserve"> in profession</w:t>
      </w:r>
      <w:bookmarkEnd w:id="70"/>
      <w:bookmarkEnd w:id="71"/>
      <w:bookmarkEnd w:id="72"/>
    </w:p>
    <w:p w:rsidR="00946240" w:rsidRPr="00467C54" w:rsidRDefault="00946240" w:rsidP="005A0156">
      <w:pPr>
        <w:rPr>
          <w:rFonts w:asciiTheme="majorHAnsi" w:hAnsiTheme="majorHAnsi"/>
          <w:lang w:eastAsia="en-GB"/>
        </w:rPr>
      </w:pPr>
    </w:p>
    <w:p w:rsidR="00754BCC" w:rsidRPr="00467C54" w:rsidRDefault="00754BCC" w:rsidP="00D84A19">
      <w:pPr>
        <w:rPr>
          <w:rFonts w:asciiTheme="majorHAnsi" w:hAnsiTheme="majorHAnsi"/>
          <w:lang w:eastAsia="en-GB"/>
        </w:rPr>
      </w:pPr>
      <w:r w:rsidRPr="00467C54">
        <w:rPr>
          <w:rFonts w:asciiTheme="majorHAnsi" w:hAnsiTheme="majorHAnsi"/>
          <w:lang w:eastAsia="en-GB"/>
        </w:rPr>
        <w:t xml:space="preserve">This result is mainly accounted for by the managers’ </w:t>
      </w:r>
      <w:r w:rsidR="005C2B13" w:rsidRPr="00467C54">
        <w:rPr>
          <w:rFonts w:asciiTheme="majorHAnsi" w:hAnsiTheme="majorHAnsi"/>
          <w:lang w:eastAsia="en-GB"/>
        </w:rPr>
        <w:t>high</w:t>
      </w:r>
      <w:r w:rsidRPr="00467C54">
        <w:rPr>
          <w:rFonts w:asciiTheme="majorHAnsi" w:hAnsiTheme="majorHAnsi"/>
          <w:lang w:eastAsia="en-GB"/>
        </w:rPr>
        <w:t xml:space="preserve"> scoring and the</w:t>
      </w:r>
      <w:r w:rsidR="00946240" w:rsidRPr="00467C54">
        <w:rPr>
          <w:rFonts w:asciiTheme="majorHAnsi" w:hAnsiTheme="majorHAnsi"/>
          <w:lang w:eastAsia="en-GB"/>
        </w:rPr>
        <w:t xml:space="preserve"> support staffs’ </w:t>
      </w:r>
      <w:r w:rsidR="005C2B13" w:rsidRPr="00467C54">
        <w:rPr>
          <w:rFonts w:asciiTheme="majorHAnsi" w:hAnsiTheme="majorHAnsi"/>
          <w:lang w:eastAsia="en-GB"/>
        </w:rPr>
        <w:t>low</w:t>
      </w:r>
      <w:r w:rsidR="00946240" w:rsidRPr="00467C54">
        <w:rPr>
          <w:rFonts w:asciiTheme="majorHAnsi" w:hAnsiTheme="majorHAnsi"/>
          <w:lang w:eastAsia="en-GB"/>
        </w:rPr>
        <w:t xml:space="preserve"> scoring. </w:t>
      </w:r>
      <w:r w:rsidR="005C2B13" w:rsidRPr="00467C54">
        <w:rPr>
          <w:rFonts w:asciiTheme="majorHAnsi" w:hAnsiTheme="majorHAnsi"/>
          <w:lang w:eastAsia="en-GB"/>
        </w:rPr>
        <w:t>I</w:t>
      </w:r>
      <w:r w:rsidRPr="00467C54">
        <w:rPr>
          <w:rFonts w:asciiTheme="majorHAnsi" w:hAnsiTheme="majorHAnsi"/>
          <w:lang w:eastAsia="en-GB"/>
        </w:rPr>
        <w:t xml:space="preserve">n this sample the managers are the </w:t>
      </w:r>
      <w:r w:rsidR="005C2B13" w:rsidRPr="00467C54">
        <w:rPr>
          <w:rFonts w:asciiTheme="majorHAnsi" w:hAnsiTheme="majorHAnsi"/>
          <w:lang w:eastAsia="en-GB"/>
        </w:rPr>
        <w:t>most</w:t>
      </w:r>
      <w:r w:rsidRPr="00467C54">
        <w:rPr>
          <w:rFonts w:asciiTheme="majorHAnsi" w:hAnsiTheme="majorHAnsi"/>
          <w:lang w:eastAsia="en-GB"/>
        </w:rPr>
        <w:t xml:space="preserve"> engaged and the support staff the </w:t>
      </w:r>
      <w:r w:rsidR="005C2B13" w:rsidRPr="00467C54">
        <w:rPr>
          <w:rFonts w:asciiTheme="majorHAnsi" w:hAnsiTheme="majorHAnsi"/>
          <w:lang w:eastAsia="en-GB"/>
        </w:rPr>
        <w:t>least</w:t>
      </w:r>
      <w:r w:rsidRPr="00467C54">
        <w:rPr>
          <w:rFonts w:asciiTheme="majorHAnsi" w:hAnsiTheme="majorHAnsi"/>
          <w:lang w:eastAsia="en-GB"/>
        </w:rPr>
        <w:t xml:space="preserve">, and these findings are </w:t>
      </w:r>
      <w:r w:rsidR="005C2B13" w:rsidRPr="00467C54">
        <w:rPr>
          <w:rFonts w:asciiTheme="majorHAnsi" w:hAnsiTheme="majorHAnsi"/>
          <w:lang w:eastAsia="en-GB"/>
        </w:rPr>
        <w:t xml:space="preserve">statistically </w:t>
      </w:r>
      <w:r w:rsidRPr="00467C54">
        <w:rPr>
          <w:rFonts w:asciiTheme="majorHAnsi" w:hAnsiTheme="majorHAnsi"/>
          <w:lang w:eastAsia="en-GB"/>
        </w:rPr>
        <w:t>significant.</w:t>
      </w:r>
      <w:r w:rsidR="00946240" w:rsidRPr="00467C54">
        <w:rPr>
          <w:rFonts w:asciiTheme="majorHAnsi" w:hAnsiTheme="majorHAnsi"/>
          <w:lang w:eastAsia="en-GB"/>
        </w:rPr>
        <w:t xml:space="preserve"> </w:t>
      </w:r>
    </w:p>
    <w:p w:rsidR="00D84A19" w:rsidRPr="00467C54" w:rsidRDefault="00D84A19" w:rsidP="00D84A19">
      <w:pPr>
        <w:pStyle w:val="Heading3"/>
        <w:rPr>
          <w:lang w:eastAsia="en-GB"/>
        </w:rPr>
      </w:pPr>
      <w:bookmarkStart w:id="73" w:name="_Toc349476497"/>
      <w:bookmarkStart w:id="74" w:name="_Toc351201890"/>
      <w:r w:rsidRPr="00467C54">
        <w:rPr>
          <w:lang w:eastAsia="en-GB"/>
        </w:rPr>
        <w:t>How reliable is this finding?</w:t>
      </w:r>
      <w:bookmarkEnd w:id="73"/>
      <w:bookmarkEnd w:id="74"/>
    </w:p>
    <w:p w:rsidR="00D84A19" w:rsidRPr="00467C54" w:rsidRDefault="00D84A19" w:rsidP="00D84A19">
      <w:pPr>
        <w:rPr>
          <w:rFonts w:asciiTheme="majorHAnsi" w:hAnsiTheme="majorHAnsi" w:cstheme="minorHAnsi"/>
        </w:rPr>
      </w:pPr>
    </w:p>
    <w:p w:rsidR="00D84A19" w:rsidRPr="00467C54" w:rsidRDefault="00D84A19" w:rsidP="00D84A19">
      <w:pPr>
        <w:rPr>
          <w:rFonts w:asciiTheme="majorHAnsi" w:hAnsiTheme="majorHAnsi" w:cstheme="minorHAnsi"/>
        </w:rPr>
      </w:pPr>
      <w:r w:rsidRPr="00467C54">
        <w:rPr>
          <w:rFonts w:asciiTheme="majorHAnsi" w:hAnsiTheme="majorHAnsi" w:cstheme="minorHAnsi"/>
        </w:rPr>
        <w:t xml:space="preserve">Recall on page 16 we showed the distribution of responses to item 29 alongside the distribution for total score NHSEEI. Here we statistically analysed these variables and found a clear correlation (table 4) between item 29 (Overall working within my organisation is 0-10) and the NHSEEI </w:t>
      </w:r>
    </w:p>
    <w:tbl>
      <w:tblPr>
        <w:tblW w:w="7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1955"/>
        <w:gridCol w:w="1455"/>
        <w:gridCol w:w="1409"/>
      </w:tblGrid>
      <w:tr w:rsidR="00D84A19" w:rsidRPr="00467C54" w:rsidTr="00D84A19">
        <w:trPr>
          <w:cantSplit/>
          <w:jc w:val="center"/>
        </w:trPr>
        <w:tc>
          <w:tcPr>
            <w:tcW w:w="7244" w:type="dxa"/>
            <w:gridSpan w:val="4"/>
            <w:tcBorders>
              <w:top w:val="nil"/>
              <w:left w:val="nil"/>
              <w:bottom w:val="nil"/>
              <w:right w:val="nil"/>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b/>
                <w:bCs/>
                <w:color w:val="000000"/>
                <w:sz w:val="18"/>
                <w:szCs w:val="18"/>
              </w:rPr>
              <w:t>Correlations</w:t>
            </w:r>
          </w:p>
        </w:tc>
      </w:tr>
      <w:tr w:rsidR="00D84A19" w:rsidRPr="00467C54" w:rsidTr="00D84A19">
        <w:trPr>
          <w:cantSplit/>
          <w:jc w:val="center"/>
        </w:trPr>
        <w:tc>
          <w:tcPr>
            <w:tcW w:w="4380" w:type="dxa"/>
            <w:gridSpan w:val="2"/>
            <w:tcBorders>
              <w:top w:val="single" w:sz="16" w:space="0" w:color="000000"/>
              <w:left w:val="single" w:sz="16" w:space="0" w:color="000000"/>
              <w:bottom w:val="single" w:sz="16" w:space="0" w:color="000000"/>
              <w:right w:val="nil"/>
            </w:tcBorders>
            <w:shd w:val="clear" w:color="auto" w:fill="FFFFFF"/>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Overall, working within my organisation....</w:t>
            </w:r>
          </w:p>
        </w:tc>
        <w:tc>
          <w:tcPr>
            <w:tcW w:w="1409" w:type="dxa"/>
            <w:tcBorders>
              <w:top w:val="single" w:sz="16" w:space="0" w:color="000000"/>
              <w:bottom w:val="single" w:sz="16" w:space="0" w:color="000000"/>
              <w:right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Total NHSEEI</w:t>
            </w:r>
          </w:p>
        </w:tc>
      </w:tr>
      <w:tr w:rsidR="00D84A19" w:rsidRPr="00467C54" w:rsidTr="00D84A19">
        <w:trPr>
          <w:cantSplit/>
          <w:jc w:val="center"/>
        </w:trPr>
        <w:tc>
          <w:tcPr>
            <w:tcW w:w="2425" w:type="dxa"/>
            <w:vMerge w:val="restart"/>
            <w:tcBorders>
              <w:top w:val="single" w:sz="16" w:space="0" w:color="000000"/>
              <w:left w:val="single" w:sz="16" w:space="0" w:color="000000"/>
              <w:bottom w:val="nil"/>
              <w:right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Overall, working within my organisation....</w:t>
            </w:r>
          </w:p>
        </w:tc>
        <w:tc>
          <w:tcPr>
            <w:tcW w:w="1955" w:type="dxa"/>
            <w:tcBorders>
              <w:top w:val="single" w:sz="16" w:space="0" w:color="000000"/>
              <w:left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Pearson Correlation</w:t>
            </w:r>
          </w:p>
        </w:tc>
        <w:tc>
          <w:tcPr>
            <w:tcW w:w="1455" w:type="dxa"/>
            <w:tcBorders>
              <w:top w:val="single" w:sz="16" w:space="0" w:color="000000"/>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w:t>
            </w:r>
          </w:p>
        </w:tc>
        <w:tc>
          <w:tcPr>
            <w:tcW w:w="1409" w:type="dxa"/>
            <w:tcBorders>
              <w:top w:val="single" w:sz="16" w:space="0" w:color="000000"/>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.781</w:t>
            </w:r>
            <w:r w:rsidRPr="00467C54">
              <w:rPr>
                <w:rFonts w:asciiTheme="majorHAnsi" w:hAnsiTheme="majorHAnsi" w:cs="Arial"/>
                <w:color w:val="000000"/>
                <w:sz w:val="18"/>
                <w:szCs w:val="18"/>
                <w:vertAlign w:val="superscript"/>
              </w:rPr>
              <w:t>**</w:t>
            </w:r>
          </w:p>
        </w:tc>
      </w:tr>
      <w:tr w:rsidR="00D84A19" w:rsidRPr="00467C54" w:rsidTr="00D84A19">
        <w:trPr>
          <w:cantSplit/>
          <w:jc w:val="center"/>
        </w:trPr>
        <w:tc>
          <w:tcPr>
            <w:tcW w:w="2425" w:type="dxa"/>
            <w:vMerge/>
            <w:tcBorders>
              <w:top w:val="single" w:sz="16" w:space="0" w:color="000000"/>
              <w:left w:val="single" w:sz="16" w:space="0" w:color="000000"/>
              <w:bottom w:val="nil"/>
              <w:right w:val="nil"/>
            </w:tcBorders>
            <w:shd w:val="clear" w:color="auto" w:fill="FFFFFF"/>
            <w:vAlign w:val="center"/>
          </w:tcPr>
          <w:p w:rsidR="00D84A19" w:rsidRPr="00467C54" w:rsidRDefault="00D84A19" w:rsidP="00D84A19">
            <w:pPr>
              <w:autoSpaceDE w:val="0"/>
              <w:autoSpaceDN w:val="0"/>
              <w:adjustRightInd w:val="0"/>
              <w:jc w:val="left"/>
              <w:rPr>
                <w:rFonts w:asciiTheme="majorHAnsi" w:hAnsiTheme="majorHAnsi"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Sig. (2-tailed)</w:t>
            </w:r>
          </w:p>
        </w:tc>
        <w:tc>
          <w:tcPr>
            <w:tcW w:w="1455" w:type="dxa"/>
            <w:tcBorders>
              <w:top w:val="nil"/>
              <w:left w:val="single" w:sz="16" w:space="0" w:color="000000"/>
              <w:bottom w:val="nil"/>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c>
          <w:tcPr>
            <w:tcW w:w="1409" w:type="dxa"/>
            <w:tcBorders>
              <w:top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.000</w:t>
            </w:r>
          </w:p>
        </w:tc>
      </w:tr>
      <w:tr w:rsidR="00D84A19" w:rsidRPr="00467C54" w:rsidTr="00D84A19">
        <w:trPr>
          <w:cantSplit/>
          <w:jc w:val="center"/>
        </w:trPr>
        <w:tc>
          <w:tcPr>
            <w:tcW w:w="2425" w:type="dxa"/>
            <w:vMerge/>
            <w:tcBorders>
              <w:top w:val="single" w:sz="16" w:space="0" w:color="000000"/>
              <w:left w:val="single" w:sz="16" w:space="0" w:color="000000"/>
              <w:bottom w:val="nil"/>
              <w:right w:val="nil"/>
            </w:tcBorders>
            <w:shd w:val="clear" w:color="auto" w:fill="FFFFFF"/>
            <w:vAlign w:val="center"/>
          </w:tcPr>
          <w:p w:rsidR="00D84A19" w:rsidRPr="00467C54" w:rsidRDefault="00D84A19" w:rsidP="00D84A19">
            <w:pPr>
              <w:autoSpaceDE w:val="0"/>
              <w:autoSpaceDN w:val="0"/>
              <w:adjustRightInd w:val="0"/>
              <w:jc w:val="left"/>
              <w:rPr>
                <w:rFonts w:asciiTheme="majorHAnsi" w:hAnsiTheme="majorHAnsi"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N</w:t>
            </w:r>
          </w:p>
        </w:tc>
        <w:tc>
          <w:tcPr>
            <w:tcW w:w="1455" w:type="dxa"/>
            <w:tcBorders>
              <w:top w:val="nil"/>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1193</w:t>
            </w:r>
          </w:p>
        </w:tc>
        <w:tc>
          <w:tcPr>
            <w:tcW w:w="1409" w:type="dxa"/>
            <w:tcBorders>
              <w:top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1193</w:t>
            </w:r>
          </w:p>
        </w:tc>
      </w:tr>
      <w:tr w:rsidR="00D84A19" w:rsidRPr="00467C54" w:rsidTr="00D84A19">
        <w:trPr>
          <w:cantSplit/>
          <w:jc w:val="center"/>
        </w:trPr>
        <w:tc>
          <w:tcPr>
            <w:tcW w:w="2425" w:type="dxa"/>
            <w:vMerge w:val="restart"/>
            <w:tcBorders>
              <w:top w:val="nil"/>
              <w:left w:val="single" w:sz="16" w:space="0" w:color="000000"/>
              <w:bottom w:val="single" w:sz="16" w:space="0" w:color="000000"/>
              <w:right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Total NHSEEI</w:t>
            </w:r>
          </w:p>
        </w:tc>
        <w:tc>
          <w:tcPr>
            <w:tcW w:w="1955" w:type="dxa"/>
            <w:tcBorders>
              <w:top w:val="nil"/>
              <w:left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Pearson Correlation</w:t>
            </w:r>
          </w:p>
        </w:tc>
        <w:tc>
          <w:tcPr>
            <w:tcW w:w="1455" w:type="dxa"/>
            <w:tcBorders>
              <w:top w:val="nil"/>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.781</w:t>
            </w:r>
            <w:r w:rsidRPr="00467C54">
              <w:rPr>
                <w:rFonts w:asciiTheme="majorHAnsi" w:hAnsiTheme="majorHAnsi" w:cs="Arial"/>
                <w:color w:val="000000"/>
                <w:sz w:val="18"/>
                <w:szCs w:val="18"/>
                <w:vertAlign w:val="superscript"/>
              </w:rPr>
              <w:t>**</w:t>
            </w:r>
          </w:p>
        </w:tc>
        <w:tc>
          <w:tcPr>
            <w:tcW w:w="1409" w:type="dxa"/>
            <w:tcBorders>
              <w:top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w:t>
            </w:r>
          </w:p>
        </w:tc>
      </w:tr>
      <w:tr w:rsidR="00D84A19" w:rsidRPr="00467C54" w:rsidTr="00D84A19">
        <w:trPr>
          <w:cantSplit/>
          <w:jc w:val="center"/>
        </w:trPr>
        <w:tc>
          <w:tcPr>
            <w:tcW w:w="2425" w:type="dxa"/>
            <w:vMerge/>
            <w:tcBorders>
              <w:top w:val="nil"/>
              <w:left w:val="single" w:sz="16" w:space="0" w:color="000000"/>
              <w:bottom w:val="single" w:sz="16" w:space="0" w:color="000000"/>
              <w:right w:val="nil"/>
            </w:tcBorders>
            <w:shd w:val="clear" w:color="auto" w:fill="FFFFFF"/>
            <w:vAlign w:val="center"/>
          </w:tcPr>
          <w:p w:rsidR="00D84A19" w:rsidRPr="00467C54" w:rsidRDefault="00D84A19" w:rsidP="00D84A19">
            <w:pPr>
              <w:autoSpaceDE w:val="0"/>
              <w:autoSpaceDN w:val="0"/>
              <w:adjustRightInd w:val="0"/>
              <w:jc w:val="left"/>
              <w:rPr>
                <w:rFonts w:asciiTheme="majorHAnsi" w:hAnsiTheme="majorHAnsi" w:cs="Arial"/>
                <w:color w:val="000000"/>
                <w:sz w:val="18"/>
                <w:szCs w:val="18"/>
              </w:rPr>
            </w:pPr>
          </w:p>
        </w:tc>
        <w:tc>
          <w:tcPr>
            <w:tcW w:w="1955" w:type="dxa"/>
            <w:tcBorders>
              <w:top w:val="nil"/>
              <w:left w:val="nil"/>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Sig. (2-tailed)</w:t>
            </w:r>
          </w:p>
        </w:tc>
        <w:tc>
          <w:tcPr>
            <w:tcW w:w="1455" w:type="dxa"/>
            <w:tcBorders>
              <w:top w:val="nil"/>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.000</w:t>
            </w:r>
          </w:p>
        </w:tc>
        <w:tc>
          <w:tcPr>
            <w:tcW w:w="1409" w:type="dxa"/>
            <w:tcBorders>
              <w:top w:val="nil"/>
              <w:bottom w:val="nil"/>
              <w:right w:val="single" w:sz="16" w:space="0" w:color="000000"/>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r>
      <w:tr w:rsidR="00D84A19" w:rsidRPr="00467C54" w:rsidTr="00D84A19">
        <w:trPr>
          <w:cantSplit/>
          <w:jc w:val="center"/>
        </w:trPr>
        <w:tc>
          <w:tcPr>
            <w:tcW w:w="2425" w:type="dxa"/>
            <w:vMerge/>
            <w:tcBorders>
              <w:top w:val="nil"/>
              <w:left w:val="single" w:sz="16" w:space="0" w:color="000000"/>
              <w:bottom w:val="single" w:sz="16" w:space="0" w:color="000000"/>
              <w:right w:val="nil"/>
            </w:tcBorders>
            <w:shd w:val="clear" w:color="auto" w:fill="FFFFFF"/>
            <w:vAlign w:val="center"/>
          </w:tcPr>
          <w:p w:rsidR="00D84A19" w:rsidRPr="00467C54" w:rsidRDefault="00D84A19" w:rsidP="00D84A19">
            <w:pPr>
              <w:autoSpaceDE w:val="0"/>
              <w:autoSpaceDN w:val="0"/>
              <w:adjustRightInd w:val="0"/>
              <w:jc w:val="left"/>
              <w:rPr>
                <w:rFonts w:asciiTheme="majorHAnsi" w:hAnsiTheme="majorHAnsi" w:cs="Times New Roman"/>
                <w:sz w:val="24"/>
                <w:szCs w:val="24"/>
              </w:rPr>
            </w:pPr>
          </w:p>
        </w:tc>
        <w:tc>
          <w:tcPr>
            <w:tcW w:w="1955" w:type="dxa"/>
            <w:tcBorders>
              <w:top w:val="nil"/>
              <w:left w:val="nil"/>
              <w:bottom w:val="single" w:sz="16" w:space="0" w:color="000000"/>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N</w:t>
            </w:r>
          </w:p>
        </w:tc>
        <w:tc>
          <w:tcPr>
            <w:tcW w:w="1455" w:type="dxa"/>
            <w:tcBorders>
              <w:top w:val="nil"/>
              <w:left w:val="single" w:sz="16" w:space="0" w:color="000000"/>
              <w:bottom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1193</w:t>
            </w:r>
          </w:p>
        </w:tc>
        <w:tc>
          <w:tcPr>
            <w:tcW w:w="1409" w:type="dxa"/>
            <w:tcBorders>
              <w:top w:val="nil"/>
              <w:bottom w:val="single" w:sz="16" w:space="0" w:color="000000"/>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1193</w:t>
            </w:r>
          </w:p>
        </w:tc>
      </w:tr>
      <w:tr w:rsidR="00D84A19" w:rsidRPr="00467C54" w:rsidTr="00D84A19">
        <w:trPr>
          <w:cantSplit/>
          <w:jc w:val="center"/>
        </w:trPr>
        <w:tc>
          <w:tcPr>
            <w:tcW w:w="7244" w:type="dxa"/>
            <w:gridSpan w:val="4"/>
            <w:tcBorders>
              <w:top w:val="nil"/>
              <w:left w:val="nil"/>
              <w:bottom w:val="nil"/>
              <w:right w:val="nil"/>
            </w:tcBorders>
            <w:shd w:val="clear" w:color="auto" w:fill="FFFFFF"/>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 Correlation is significant at the 0.01 level (2-tailed).</w:t>
            </w:r>
          </w:p>
        </w:tc>
      </w:tr>
    </w:tbl>
    <w:p w:rsidR="00D84A19" w:rsidRPr="00467C54" w:rsidRDefault="00D84A19" w:rsidP="00D84A19">
      <w:pPr>
        <w:pStyle w:val="Heading4"/>
        <w:rPr>
          <w:lang w:val="en-US"/>
        </w:rPr>
      </w:pPr>
      <w:bookmarkStart w:id="75" w:name="_Toc349398136"/>
      <w:bookmarkStart w:id="76" w:name="_Toc349398208"/>
      <w:bookmarkStart w:id="77" w:name="_Toc349475859"/>
      <w:bookmarkStart w:id="78" w:name="_Toc351130772"/>
      <w:r w:rsidRPr="00467C54">
        <w:rPr>
          <w:lang w:val="en-US"/>
        </w:rPr>
        <w:t>Table 4. Correlation between NHSEEI and item 29</w:t>
      </w:r>
      <w:bookmarkEnd w:id="75"/>
      <w:bookmarkEnd w:id="76"/>
      <w:bookmarkEnd w:id="77"/>
      <w:bookmarkEnd w:id="78"/>
    </w:p>
    <w:p w:rsidR="00D84A19" w:rsidRPr="00467C54" w:rsidRDefault="00D84A19" w:rsidP="00D84A19">
      <w:pPr>
        <w:rPr>
          <w:rFonts w:asciiTheme="majorHAnsi" w:hAnsiTheme="majorHAnsi" w:cstheme="minorHAnsi"/>
        </w:rPr>
      </w:pPr>
    </w:p>
    <w:p w:rsidR="00D84A19" w:rsidRPr="00467C54" w:rsidRDefault="00D84A19" w:rsidP="00D84A19">
      <w:pPr>
        <w:rPr>
          <w:rFonts w:asciiTheme="majorHAnsi" w:hAnsiTheme="majorHAnsi" w:cstheme="minorHAnsi"/>
        </w:rPr>
      </w:pPr>
      <w:r w:rsidRPr="00467C54">
        <w:rPr>
          <w:rFonts w:asciiTheme="majorHAnsi" w:hAnsiTheme="majorHAnsi" w:cstheme="minorHAnsi"/>
        </w:rPr>
        <w:t xml:space="preserve">Pearson’s correlation is significant (0.781, p&lt;0.000) inferring a very strong association between the two measures. This means the self-rated score for item 29 is a strong indicator of degree of staff engagement and could therefore provide a useful summary metric. </w:t>
      </w:r>
      <w:r w:rsidRPr="00467C54">
        <w:rPr>
          <w:rFonts w:asciiTheme="majorHAnsi" w:hAnsiTheme="majorHAnsi"/>
          <w:lang w:eastAsia="en-GB"/>
        </w:rPr>
        <w:t xml:space="preserve">We therefore repeated the ANOVA using item 29 as the independent variable and got a similarly significant result (p&lt;0.000) in relation to finding statistical differences between professions in terms of engagement. </w:t>
      </w:r>
    </w:p>
    <w:p w:rsidR="00D84A19" w:rsidRPr="00467C54" w:rsidRDefault="00D84A19" w:rsidP="00D84A19">
      <w:pPr>
        <w:rPr>
          <w:rFonts w:asciiTheme="majorHAnsi" w:hAnsiTheme="majorHAnsi"/>
          <w:lang w:eastAsia="en-GB"/>
        </w:rPr>
      </w:pPr>
    </w:p>
    <w:p w:rsidR="00D84A19" w:rsidRPr="00467C54" w:rsidRDefault="00D84A19" w:rsidP="00D84A19">
      <w:pPr>
        <w:rPr>
          <w:rFonts w:asciiTheme="majorHAnsi" w:hAnsiTheme="majorHAnsi"/>
          <w:lang w:eastAsia="en-GB"/>
        </w:rPr>
      </w:pPr>
    </w:p>
    <w:p w:rsidR="00D84A19" w:rsidRPr="00467C54" w:rsidRDefault="00D84A19" w:rsidP="00D84A19">
      <w:pPr>
        <w:pStyle w:val="Heading4"/>
        <w:rPr>
          <w:lang w:eastAsia="en-GB"/>
        </w:rPr>
      </w:pPr>
      <w:bookmarkStart w:id="79" w:name="_Toc349398137"/>
      <w:bookmarkStart w:id="80" w:name="_Toc349398209"/>
    </w:p>
    <w:p w:rsidR="00D84A19" w:rsidRPr="00467C54" w:rsidRDefault="00D84A19" w:rsidP="00D84A19">
      <w:pPr>
        <w:pStyle w:val="Heading5"/>
        <w:jc w:val="center"/>
        <w:rPr>
          <w:lang w:eastAsia="en-GB"/>
        </w:rPr>
      </w:pPr>
      <w:bookmarkStart w:id="81" w:name="_Toc349475852"/>
      <w:r w:rsidRPr="00467C54">
        <w:rPr>
          <w:noProof/>
          <w:lang w:eastAsia="en-GB"/>
        </w:rPr>
        <w:drawing>
          <wp:inline distT="0" distB="0" distL="0" distR="0">
            <wp:extent cx="5731510" cy="3743239"/>
            <wp:effectExtent l="19050" t="0" r="21590" b="0"/>
            <wp:docPr id="28"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4A19" w:rsidRPr="00467C54" w:rsidRDefault="00D84A19" w:rsidP="00D84A19">
      <w:pPr>
        <w:pStyle w:val="Heading5"/>
        <w:jc w:val="center"/>
        <w:rPr>
          <w:lang w:eastAsia="en-GB"/>
        </w:rPr>
      </w:pPr>
      <w:r w:rsidRPr="00467C54">
        <w:rPr>
          <w:lang w:eastAsia="en-GB"/>
        </w:rPr>
        <w:t>Figure 13. Mean score for item 29 by profession</w:t>
      </w:r>
      <w:bookmarkEnd w:id="79"/>
      <w:bookmarkEnd w:id="80"/>
      <w:bookmarkEnd w:id="81"/>
    </w:p>
    <w:p w:rsidR="00D84A19" w:rsidRPr="00467C54" w:rsidRDefault="00D84A19" w:rsidP="00D84A19">
      <w:pPr>
        <w:autoSpaceDE w:val="0"/>
        <w:autoSpaceDN w:val="0"/>
        <w:adjustRightInd w:val="0"/>
        <w:jc w:val="left"/>
        <w:rPr>
          <w:rFonts w:asciiTheme="majorHAnsi" w:hAnsiTheme="majorHAnsi" w:cs="Times New Roman"/>
          <w:sz w:val="24"/>
          <w:szCs w:val="24"/>
        </w:rPr>
      </w:pPr>
    </w:p>
    <w:tbl>
      <w:tblPr>
        <w:tblW w:w="75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79"/>
        <w:gridCol w:w="1000"/>
        <w:gridCol w:w="1000"/>
      </w:tblGrid>
      <w:tr w:rsidR="00D84A19" w:rsidRPr="00467C54" w:rsidTr="00D84A19">
        <w:trPr>
          <w:cantSplit/>
          <w:jc w:val="center"/>
        </w:trPr>
        <w:tc>
          <w:tcPr>
            <w:tcW w:w="7501" w:type="dxa"/>
            <w:gridSpan w:val="6"/>
            <w:tcBorders>
              <w:top w:val="nil"/>
              <w:left w:val="nil"/>
              <w:bottom w:val="nil"/>
              <w:right w:val="nil"/>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b/>
                <w:bCs/>
                <w:color w:val="000000"/>
                <w:sz w:val="18"/>
                <w:szCs w:val="18"/>
              </w:rPr>
              <w:t>ANOVA</w:t>
            </w:r>
          </w:p>
        </w:tc>
      </w:tr>
      <w:tr w:rsidR="00D84A19" w:rsidRPr="00467C54" w:rsidTr="00D84A19">
        <w:trPr>
          <w:cantSplit/>
          <w:jc w:val="center"/>
        </w:trPr>
        <w:tc>
          <w:tcPr>
            <w:tcW w:w="7501" w:type="dxa"/>
            <w:gridSpan w:val="6"/>
            <w:tcBorders>
              <w:top w:val="nil"/>
              <w:left w:val="nil"/>
              <w:bottom w:val="nil"/>
              <w:right w:val="nil"/>
            </w:tcBorders>
            <w:shd w:val="clear" w:color="auto" w:fill="FFFFFF"/>
            <w:vAlign w:val="bottom"/>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Overall, working within my organisation....</w:t>
            </w:r>
          </w:p>
        </w:tc>
      </w:tr>
      <w:tr w:rsidR="00D84A19" w:rsidRPr="00467C54" w:rsidTr="00D84A19">
        <w:trPr>
          <w:cantSplit/>
          <w:jc w:val="center"/>
        </w:trPr>
        <w:tc>
          <w:tcPr>
            <w:tcW w:w="1667" w:type="dxa"/>
            <w:tcBorders>
              <w:top w:val="single" w:sz="16" w:space="0" w:color="000000"/>
              <w:left w:val="single" w:sz="16" w:space="0" w:color="000000"/>
              <w:bottom w:val="single" w:sz="16" w:space="0" w:color="000000"/>
              <w:right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p>
        </w:tc>
        <w:tc>
          <w:tcPr>
            <w:tcW w:w="1455" w:type="dxa"/>
            <w:tcBorders>
              <w:top w:val="single" w:sz="16" w:space="0" w:color="000000"/>
              <w:left w:val="single" w:sz="16" w:space="0" w:color="000000"/>
              <w:bottom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df</w:t>
            </w:r>
          </w:p>
        </w:tc>
        <w:tc>
          <w:tcPr>
            <w:tcW w:w="1379" w:type="dxa"/>
            <w:tcBorders>
              <w:top w:val="single" w:sz="16" w:space="0" w:color="000000"/>
              <w:bottom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D84A19" w:rsidRPr="00467C54" w:rsidRDefault="00D84A19" w:rsidP="00D84A19">
            <w:pPr>
              <w:autoSpaceDE w:val="0"/>
              <w:autoSpaceDN w:val="0"/>
              <w:adjustRightInd w:val="0"/>
              <w:spacing w:line="320" w:lineRule="atLeast"/>
              <w:ind w:left="60" w:right="60"/>
              <w:jc w:val="center"/>
              <w:rPr>
                <w:rFonts w:asciiTheme="majorHAnsi" w:hAnsiTheme="majorHAnsi" w:cs="Arial"/>
                <w:color w:val="000000"/>
                <w:sz w:val="18"/>
                <w:szCs w:val="18"/>
              </w:rPr>
            </w:pPr>
            <w:r w:rsidRPr="00467C54">
              <w:rPr>
                <w:rFonts w:asciiTheme="majorHAnsi" w:hAnsiTheme="majorHAnsi" w:cs="Arial"/>
                <w:color w:val="000000"/>
                <w:sz w:val="18"/>
                <w:szCs w:val="18"/>
              </w:rPr>
              <w:t>Sig.</w:t>
            </w:r>
          </w:p>
        </w:tc>
      </w:tr>
      <w:tr w:rsidR="00D84A19" w:rsidRPr="00467C54" w:rsidTr="00D84A19">
        <w:trPr>
          <w:cantSplit/>
          <w:jc w:val="center"/>
        </w:trPr>
        <w:tc>
          <w:tcPr>
            <w:tcW w:w="1667" w:type="dxa"/>
            <w:tcBorders>
              <w:top w:val="single" w:sz="16" w:space="0" w:color="000000"/>
              <w:left w:val="single" w:sz="16" w:space="0" w:color="000000"/>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Between Groups</w:t>
            </w:r>
          </w:p>
        </w:tc>
        <w:tc>
          <w:tcPr>
            <w:tcW w:w="1455" w:type="dxa"/>
            <w:tcBorders>
              <w:top w:val="single" w:sz="16" w:space="0" w:color="000000"/>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242.742</w:t>
            </w:r>
          </w:p>
        </w:tc>
        <w:tc>
          <w:tcPr>
            <w:tcW w:w="1000" w:type="dxa"/>
            <w:tcBorders>
              <w:top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7</w:t>
            </w:r>
          </w:p>
        </w:tc>
        <w:tc>
          <w:tcPr>
            <w:tcW w:w="1379" w:type="dxa"/>
            <w:tcBorders>
              <w:top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34.677</w:t>
            </w:r>
          </w:p>
        </w:tc>
        <w:tc>
          <w:tcPr>
            <w:tcW w:w="1000" w:type="dxa"/>
            <w:tcBorders>
              <w:top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8.382</w:t>
            </w:r>
          </w:p>
        </w:tc>
        <w:tc>
          <w:tcPr>
            <w:tcW w:w="1000" w:type="dxa"/>
            <w:tcBorders>
              <w:top w:val="single" w:sz="16" w:space="0" w:color="000000"/>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.000</w:t>
            </w:r>
          </w:p>
        </w:tc>
      </w:tr>
      <w:tr w:rsidR="00D84A19" w:rsidRPr="00467C54" w:rsidTr="00D84A19">
        <w:trPr>
          <w:cantSplit/>
          <w:jc w:val="center"/>
        </w:trPr>
        <w:tc>
          <w:tcPr>
            <w:tcW w:w="1667" w:type="dxa"/>
            <w:tcBorders>
              <w:top w:val="nil"/>
              <w:left w:val="single" w:sz="16" w:space="0" w:color="000000"/>
              <w:bottom w:val="nil"/>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Within Groups</w:t>
            </w:r>
          </w:p>
        </w:tc>
        <w:tc>
          <w:tcPr>
            <w:tcW w:w="1455" w:type="dxa"/>
            <w:tcBorders>
              <w:top w:val="nil"/>
              <w:left w:val="single" w:sz="16" w:space="0" w:color="000000"/>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4811.429</w:t>
            </w:r>
          </w:p>
        </w:tc>
        <w:tc>
          <w:tcPr>
            <w:tcW w:w="1000" w:type="dxa"/>
            <w:tcBorders>
              <w:top w:val="nil"/>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1163</w:t>
            </w:r>
          </w:p>
        </w:tc>
        <w:tc>
          <w:tcPr>
            <w:tcW w:w="1379" w:type="dxa"/>
            <w:tcBorders>
              <w:top w:val="nil"/>
              <w:bottom w:val="nil"/>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4.137</w:t>
            </w:r>
          </w:p>
        </w:tc>
        <w:tc>
          <w:tcPr>
            <w:tcW w:w="1000" w:type="dxa"/>
            <w:tcBorders>
              <w:top w:val="nil"/>
              <w:bottom w:val="nil"/>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c>
          <w:tcPr>
            <w:tcW w:w="1000" w:type="dxa"/>
            <w:tcBorders>
              <w:top w:val="nil"/>
              <w:bottom w:val="nil"/>
              <w:right w:val="single" w:sz="16" w:space="0" w:color="000000"/>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r>
      <w:tr w:rsidR="00D84A19" w:rsidRPr="00467C54" w:rsidTr="00D84A19">
        <w:trPr>
          <w:cantSplit/>
          <w:jc w:val="center"/>
        </w:trPr>
        <w:tc>
          <w:tcPr>
            <w:tcW w:w="1667" w:type="dxa"/>
            <w:tcBorders>
              <w:top w:val="nil"/>
              <w:left w:val="single" w:sz="16" w:space="0" w:color="000000"/>
              <w:bottom w:val="single" w:sz="16" w:space="0" w:color="000000"/>
              <w:right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left"/>
              <w:rPr>
                <w:rFonts w:asciiTheme="majorHAnsi" w:hAnsiTheme="majorHAnsi" w:cs="Arial"/>
                <w:color w:val="000000"/>
                <w:sz w:val="18"/>
                <w:szCs w:val="18"/>
              </w:rPr>
            </w:pPr>
            <w:r w:rsidRPr="00467C54">
              <w:rPr>
                <w:rFonts w:asciiTheme="majorHAnsi" w:hAnsiTheme="majorHAnsi"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5054.171</w:t>
            </w:r>
          </w:p>
        </w:tc>
        <w:tc>
          <w:tcPr>
            <w:tcW w:w="1000" w:type="dxa"/>
            <w:tcBorders>
              <w:top w:val="nil"/>
              <w:bottom w:val="single" w:sz="16" w:space="0" w:color="000000"/>
            </w:tcBorders>
            <w:shd w:val="clear" w:color="auto" w:fill="FFFFFF"/>
            <w:vAlign w:val="center"/>
          </w:tcPr>
          <w:p w:rsidR="00D84A19" w:rsidRPr="00467C54" w:rsidRDefault="00D84A19" w:rsidP="00D84A19">
            <w:pPr>
              <w:autoSpaceDE w:val="0"/>
              <w:autoSpaceDN w:val="0"/>
              <w:adjustRightInd w:val="0"/>
              <w:spacing w:line="320" w:lineRule="atLeast"/>
              <w:ind w:left="60" w:right="60"/>
              <w:jc w:val="right"/>
              <w:rPr>
                <w:rFonts w:asciiTheme="majorHAnsi" w:hAnsiTheme="majorHAnsi" w:cs="Arial"/>
                <w:color w:val="000000"/>
                <w:sz w:val="18"/>
                <w:szCs w:val="18"/>
              </w:rPr>
            </w:pPr>
            <w:r w:rsidRPr="00467C54">
              <w:rPr>
                <w:rFonts w:asciiTheme="majorHAnsi" w:hAnsiTheme="majorHAnsi" w:cs="Arial"/>
                <w:color w:val="000000"/>
                <w:sz w:val="18"/>
                <w:szCs w:val="18"/>
              </w:rPr>
              <w:t>1170</w:t>
            </w:r>
          </w:p>
        </w:tc>
        <w:tc>
          <w:tcPr>
            <w:tcW w:w="1379" w:type="dxa"/>
            <w:tcBorders>
              <w:top w:val="nil"/>
              <w:bottom w:val="single" w:sz="16" w:space="0" w:color="000000"/>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c>
          <w:tcPr>
            <w:tcW w:w="1000" w:type="dxa"/>
            <w:tcBorders>
              <w:top w:val="nil"/>
              <w:bottom w:val="single" w:sz="16" w:space="0" w:color="000000"/>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c>
          <w:tcPr>
            <w:tcW w:w="1000" w:type="dxa"/>
            <w:tcBorders>
              <w:top w:val="nil"/>
              <w:bottom w:val="single" w:sz="16" w:space="0" w:color="000000"/>
              <w:right w:val="single" w:sz="16" w:space="0" w:color="000000"/>
            </w:tcBorders>
            <w:shd w:val="clear" w:color="auto" w:fill="FFFFFF"/>
          </w:tcPr>
          <w:p w:rsidR="00D84A19" w:rsidRPr="00467C54" w:rsidRDefault="00D84A19" w:rsidP="00D84A19">
            <w:pPr>
              <w:autoSpaceDE w:val="0"/>
              <w:autoSpaceDN w:val="0"/>
              <w:adjustRightInd w:val="0"/>
              <w:jc w:val="left"/>
              <w:rPr>
                <w:rFonts w:asciiTheme="majorHAnsi" w:hAnsiTheme="majorHAnsi" w:cs="Times New Roman"/>
                <w:sz w:val="24"/>
                <w:szCs w:val="24"/>
              </w:rPr>
            </w:pPr>
          </w:p>
        </w:tc>
      </w:tr>
    </w:tbl>
    <w:p w:rsidR="00D84A19" w:rsidRPr="00467C54" w:rsidRDefault="00D84A19" w:rsidP="00D84A19">
      <w:pPr>
        <w:pStyle w:val="Heading4"/>
        <w:jc w:val="center"/>
      </w:pPr>
      <w:bookmarkStart w:id="82" w:name="_Toc349398138"/>
      <w:bookmarkStart w:id="83" w:name="_Toc349398210"/>
      <w:bookmarkStart w:id="84" w:name="_Toc349475860"/>
      <w:bookmarkStart w:id="85" w:name="_Toc351130773"/>
      <w:r w:rsidRPr="00467C54">
        <w:t>Table 5. ANOVA by profession using item 29</w:t>
      </w:r>
      <w:bookmarkEnd w:id="82"/>
      <w:bookmarkEnd w:id="83"/>
      <w:bookmarkEnd w:id="84"/>
      <w:bookmarkEnd w:id="85"/>
    </w:p>
    <w:p w:rsidR="00D84A19" w:rsidRPr="00467C54" w:rsidRDefault="00D84A19" w:rsidP="00D84A19">
      <w:pPr>
        <w:rPr>
          <w:rFonts w:asciiTheme="majorHAnsi" w:hAnsiTheme="majorHAnsi"/>
          <w:lang w:eastAsia="en-GB"/>
        </w:rPr>
      </w:pPr>
    </w:p>
    <w:p w:rsidR="00D84A19" w:rsidRPr="00467C54" w:rsidRDefault="00D84A19" w:rsidP="00D84A19">
      <w:pPr>
        <w:rPr>
          <w:rFonts w:asciiTheme="majorHAnsi" w:hAnsiTheme="majorHAnsi"/>
          <w:lang w:eastAsia="en-GB"/>
        </w:rPr>
      </w:pPr>
      <w:r w:rsidRPr="00467C54">
        <w:rPr>
          <w:rFonts w:asciiTheme="majorHAnsi" w:hAnsiTheme="majorHAnsi"/>
          <w:lang w:eastAsia="en-GB"/>
        </w:rPr>
        <w:t xml:space="preserve">Again this result can be mainly accounted for by the positive mean score of the managerial staff (7.35) and the least positive score attributable to the support services (5.36). The fact that these results were comparable adds credibility to the inference that these are meaningful differences. Whilst the sample size of managers could have been cited as a weakness of this inference it is nevertheless a statistically significant finding from two different (but related) measures. Managers in this sample are significantly more engaged than their colleagues. Support services significantly less so. However, recall that even their scores are positive. </w:t>
      </w:r>
    </w:p>
    <w:p w:rsidR="00F95B7B" w:rsidRPr="00467C54" w:rsidRDefault="00F95B7B" w:rsidP="005A0156">
      <w:pPr>
        <w:rPr>
          <w:rFonts w:asciiTheme="majorHAnsi" w:hAnsiTheme="majorHAnsi"/>
          <w:lang w:eastAsia="en-GB"/>
        </w:rPr>
      </w:pPr>
    </w:p>
    <w:p w:rsidR="00EA228C" w:rsidRPr="00467C54" w:rsidRDefault="002C7BE9" w:rsidP="005A0156">
      <w:pPr>
        <w:pStyle w:val="Heading2"/>
        <w:rPr>
          <w:lang w:eastAsia="en-GB"/>
        </w:rPr>
      </w:pPr>
      <w:bookmarkStart w:id="86" w:name="_Toc351201891"/>
      <w:r w:rsidRPr="00467C54">
        <w:rPr>
          <w:lang w:eastAsia="en-GB"/>
        </w:rPr>
        <w:t>Discussion</w:t>
      </w:r>
      <w:bookmarkEnd w:id="86"/>
    </w:p>
    <w:p w:rsidR="002C7BE9" w:rsidRPr="00467C54" w:rsidRDefault="002C7BE9" w:rsidP="005A0156">
      <w:pPr>
        <w:rPr>
          <w:rFonts w:asciiTheme="majorHAnsi" w:eastAsia="Times New Roman" w:hAnsiTheme="majorHAnsi" w:cs="Calibri"/>
          <w:color w:val="000000"/>
          <w:lang w:eastAsia="en-GB"/>
        </w:rPr>
      </w:pPr>
    </w:p>
    <w:p w:rsidR="002C7BE9" w:rsidRPr="00467C54" w:rsidRDefault="002C7BE9"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This section </w:t>
      </w:r>
      <w:r w:rsidR="004A7772" w:rsidRPr="00467C54">
        <w:rPr>
          <w:rFonts w:asciiTheme="majorHAnsi" w:eastAsia="Times New Roman" w:hAnsiTheme="majorHAnsi" w:cs="Calibri"/>
          <w:color w:val="000000"/>
          <w:lang w:eastAsia="en-GB"/>
        </w:rPr>
        <w:t>interprets</w:t>
      </w:r>
      <w:r w:rsidRPr="00467C54">
        <w:rPr>
          <w:rFonts w:asciiTheme="majorHAnsi" w:eastAsia="Times New Roman" w:hAnsiTheme="majorHAnsi" w:cs="Calibri"/>
          <w:color w:val="000000"/>
          <w:lang w:eastAsia="en-GB"/>
        </w:rPr>
        <w:t xml:space="preserve"> </w:t>
      </w:r>
      <w:r w:rsidR="000B7B55" w:rsidRPr="00467C54">
        <w:rPr>
          <w:rFonts w:asciiTheme="majorHAnsi" w:eastAsia="Times New Roman" w:hAnsiTheme="majorHAnsi" w:cs="Calibri"/>
          <w:color w:val="000000"/>
          <w:lang w:eastAsia="en-GB"/>
        </w:rPr>
        <w:t>the</w:t>
      </w:r>
      <w:r w:rsidR="00725BA8" w:rsidRPr="00467C54">
        <w:rPr>
          <w:rFonts w:asciiTheme="majorHAnsi" w:eastAsia="Times New Roman" w:hAnsiTheme="majorHAnsi" w:cs="Calibri"/>
          <w:color w:val="000000"/>
          <w:lang w:eastAsia="en-GB"/>
        </w:rPr>
        <w:t>se</w:t>
      </w:r>
      <w:r w:rsidR="000B7B55" w:rsidRPr="00467C54">
        <w:rPr>
          <w:rFonts w:asciiTheme="majorHAnsi" w:eastAsia="Times New Roman" w:hAnsiTheme="majorHAnsi" w:cs="Calibri"/>
          <w:color w:val="000000"/>
          <w:lang w:eastAsia="en-GB"/>
        </w:rPr>
        <w:t xml:space="preserve"> various analyses</w:t>
      </w:r>
      <w:r w:rsidR="000F7476" w:rsidRPr="00467C54">
        <w:rPr>
          <w:rFonts w:asciiTheme="majorHAnsi" w:eastAsia="Times New Roman" w:hAnsiTheme="majorHAnsi" w:cs="Calibri"/>
          <w:color w:val="000000"/>
          <w:lang w:eastAsia="en-GB"/>
        </w:rPr>
        <w:t xml:space="preserve">. </w:t>
      </w:r>
      <w:r w:rsidR="00BC2D65" w:rsidRPr="00467C54">
        <w:rPr>
          <w:rFonts w:asciiTheme="majorHAnsi" w:eastAsia="Times New Roman" w:hAnsiTheme="majorHAnsi" w:cs="Calibri"/>
          <w:color w:val="000000"/>
          <w:lang w:eastAsia="en-GB"/>
        </w:rPr>
        <w:t>I</w:t>
      </w:r>
      <w:r w:rsidR="0010709E" w:rsidRPr="00467C54">
        <w:rPr>
          <w:rFonts w:asciiTheme="majorHAnsi" w:eastAsia="Times New Roman" w:hAnsiTheme="majorHAnsi" w:cs="Calibri"/>
          <w:color w:val="000000"/>
          <w:lang w:eastAsia="en-GB"/>
        </w:rPr>
        <w:t xml:space="preserve">t contextualises this </w:t>
      </w:r>
      <w:r w:rsidR="00BC2D65" w:rsidRPr="00467C54">
        <w:rPr>
          <w:rFonts w:asciiTheme="majorHAnsi" w:eastAsia="Times New Roman" w:hAnsiTheme="majorHAnsi" w:cs="Calibri"/>
          <w:color w:val="000000"/>
          <w:lang w:eastAsia="en-GB"/>
        </w:rPr>
        <w:t xml:space="preserve">interpretation </w:t>
      </w:r>
      <w:r w:rsidR="0010709E" w:rsidRPr="00467C54">
        <w:rPr>
          <w:rFonts w:asciiTheme="majorHAnsi" w:eastAsia="Times New Roman" w:hAnsiTheme="majorHAnsi" w:cs="Calibri"/>
          <w:color w:val="000000"/>
          <w:lang w:eastAsia="en-GB"/>
        </w:rPr>
        <w:t xml:space="preserve">by </w:t>
      </w:r>
      <w:r w:rsidR="0012462A" w:rsidRPr="00467C54">
        <w:rPr>
          <w:rFonts w:asciiTheme="majorHAnsi" w:eastAsia="Times New Roman" w:hAnsiTheme="majorHAnsi" w:cs="Calibri"/>
          <w:color w:val="000000"/>
          <w:lang w:eastAsia="en-GB"/>
        </w:rPr>
        <w:t>reflecting on the underpinning theory of the questionnaire</w:t>
      </w:r>
      <w:r w:rsidR="00BC2D65" w:rsidRPr="00467C54">
        <w:rPr>
          <w:rFonts w:asciiTheme="majorHAnsi" w:eastAsia="Times New Roman" w:hAnsiTheme="majorHAnsi" w:cs="Calibri"/>
          <w:color w:val="000000"/>
          <w:lang w:eastAsia="en-GB"/>
        </w:rPr>
        <w:t xml:space="preserve"> and its relationship and importance to the inferences we have made</w:t>
      </w:r>
      <w:r w:rsidR="0012462A" w:rsidRPr="00467C54">
        <w:rPr>
          <w:rFonts w:asciiTheme="majorHAnsi" w:eastAsia="Times New Roman" w:hAnsiTheme="majorHAnsi" w:cs="Calibri"/>
          <w:color w:val="000000"/>
          <w:lang w:eastAsia="en-GB"/>
        </w:rPr>
        <w:t>.</w:t>
      </w:r>
      <w:r w:rsidRPr="00467C54">
        <w:rPr>
          <w:rFonts w:asciiTheme="majorHAnsi" w:eastAsia="Times New Roman" w:hAnsiTheme="majorHAnsi" w:cs="Calibri"/>
          <w:color w:val="000000"/>
          <w:lang w:eastAsia="en-GB"/>
        </w:rPr>
        <w:t xml:space="preserve"> It finishes by making recommendations for </w:t>
      </w:r>
      <w:r w:rsidR="00992909" w:rsidRPr="00467C54">
        <w:rPr>
          <w:rFonts w:asciiTheme="majorHAnsi" w:eastAsia="Times New Roman" w:hAnsiTheme="majorHAnsi" w:cs="Calibri"/>
          <w:color w:val="000000"/>
          <w:lang w:eastAsia="en-GB"/>
        </w:rPr>
        <w:t>further study.</w:t>
      </w:r>
      <w:r w:rsidR="0053090B" w:rsidRPr="00467C54">
        <w:rPr>
          <w:rFonts w:asciiTheme="majorHAnsi" w:eastAsia="Times New Roman" w:hAnsiTheme="majorHAnsi" w:cs="Calibri"/>
          <w:color w:val="000000"/>
          <w:lang w:eastAsia="en-GB"/>
        </w:rPr>
        <w:t xml:space="preserve"> First a quick recap of the main findings within this study</w:t>
      </w:r>
      <w:r w:rsidR="00BC2D65" w:rsidRPr="00467C54">
        <w:rPr>
          <w:rFonts w:asciiTheme="majorHAnsi" w:eastAsia="Times New Roman" w:hAnsiTheme="majorHAnsi" w:cs="Calibri"/>
          <w:color w:val="000000"/>
          <w:lang w:eastAsia="en-GB"/>
        </w:rPr>
        <w:t>.</w:t>
      </w:r>
    </w:p>
    <w:p w:rsidR="006A09B0" w:rsidRPr="00467C54" w:rsidRDefault="006A09B0" w:rsidP="005A0156">
      <w:pPr>
        <w:rPr>
          <w:rFonts w:asciiTheme="majorHAnsi" w:eastAsia="Times New Roman" w:hAnsiTheme="majorHAnsi" w:cs="Calibri"/>
          <w:color w:val="000000"/>
          <w:lang w:eastAsia="en-GB"/>
        </w:rPr>
      </w:pPr>
    </w:p>
    <w:p w:rsidR="006A09B0" w:rsidRPr="00467C54" w:rsidRDefault="006A09B0" w:rsidP="005A0156">
      <w:pPr>
        <w:pStyle w:val="Heading3"/>
        <w:rPr>
          <w:rFonts w:eastAsia="Times New Roman"/>
          <w:lang w:eastAsia="en-GB"/>
        </w:rPr>
      </w:pPr>
      <w:bookmarkStart w:id="87" w:name="_Toc351201892"/>
      <w:r w:rsidRPr="00467C54">
        <w:rPr>
          <w:rFonts w:eastAsia="Times New Roman"/>
          <w:lang w:eastAsia="en-GB"/>
        </w:rPr>
        <w:t>What this study found</w:t>
      </w:r>
      <w:bookmarkEnd w:id="87"/>
    </w:p>
    <w:p w:rsidR="00E8765F" w:rsidRPr="00467C54" w:rsidRDefault="00E8765F" w:rsidP="005A0156">
      <w:pPr>
        <w:rPr>
          <w:rFonts w:asciiTheme="majorHAnsi" w:hAnsiTheme="majorHAnsi"/>
        </w:rPr>
      </w:pPr>
    </w:p>
    <w:p w:rsidR="009B7A57" w:rsidRPr="00467C54" w:rsidRDefault="009B7A57" w:rsidP="005A0156">
      <w:pPr>
        <w:pStyle w:val="ListParagraph"/>
        <w:numPr>
          <w:ilvl w:val="0"/>
          <w:numId w:val="26"/>
        </w:numPr>
        <w:rPr>
          <w:rFonts w:asciiTheme="majorHAnsi" w:hAnsiTheme="majorHAnsi"/>
        </w:rPr>
      </w:pPr>
      <w:r w:rsidRPr="00467C54">
        <w:rPr>
          <w:rFonts w:asciiTheme="majorHAnsi" w:hAnsiTheme="majorHAnsi"/>
        </w:rPr>
        <w:t>The response rate was excellent at just over 56%</w:t>
      </w:r>
      <w:r w:rsidR="004A7772" w:rsidRPr="00467C54">
        <w:rPr>
          <w:rFonts w:asciiTheme="majorHAnsi" w:hAnsiTheme="majorHAnsi"/>
        </w:rPr>
        <w:t>. 1193 responses were included for analysis.</w:t>
      </w:r>
    </w:p>
    <w:p w:rsidR="009B7A57" w:rsidRPr="00467C54" w:rsidRDefault="009B7A57" w:rsidP="005A0156">
      <w:pPr>
        <w:rPr>
          <w:rFonts w:asciiTheme="majorHAnsi" w:hAnsiTheme="majorHAnsi"/>
        </w:rPr>
      </w:pPr>
    </w:p>
    <w:p w:rsidR="00E27239" w:rsidRPr="00467C54" w:rsidRDefault="009B7A57" w:rsidP="00D84A19">
      <w:pPr>
        <w:pStyle w:val="ListParagraph"/>
        <w:numPr>
          <w:ilvl w:val="0"/>
          <w:numId w:val="26"/>
        </w:numPr>
        <w:rPr>
          <w:rFonts w:asciiTheme="majorHAnsi" w:hAnsiTheme="majorHAnsi"/>
        </w:rPr>
      </w:pPr>
      <w:r w:rsidRPr="00467C54">
        <w:rPr>
          <w:rFonts w:asciiTheme="majorHAnsi" w:hAnsiTheme="majorHAnsi"/>
        </w:rPr>
        <w:t xml:space="preserve">According to </w:t>
      </w:r>
      <w:r w:rsidR="004A7772" w:rsidRPr="00467C54">
        <w:rPr>
          <w:rFonts w:asciiTheme="majorHAnsi" w:hAnsiTheme="majorHAnsi"/>
        </w:rPr>
        <w:t>both NHSEEI and item 29</w:t>
      </w:r>
      <w:r w:rsidRPr="00467C54">
        <w:rPr>
          <w:rFonts w:asciiTheme="majorHAnsi" w:hAnsiTheme="majorHAnsi"/>
        </w:rPr>
        <w:t xml:space="preserve"> the most </w:t>
      </w:r>
      <w:r w:rsidR="00E27239" w:rsidRPr="00467C54">
        <w:rPr>
          <w:rFonts w:asciiTheme="majorHAnsi" w:hAnsiTheme="majorHAnsi"/>
        </w:rPr>
        <w:t>engaged</w:t>
      </w:r>
      <w:r w:rsidRPr="00467C54">
        <w:rPr>
          <w:rFonts w:asciiTheme="majorHAnsi" w:hAnsiTheme="majorHAnsi"/>
        </w:rPr>
        <w:t xml:space="preserve"> profession were the managers. The </w:t>
      </w:r>
      <w:r w:rsidR="00E27239" w:rsidRPr="00467C54">
        <w:rPr>
          <w:rFonts w:asciiTheme="majorHAnsi" w:hAnsiTheme="majorHAnsi"/>
        </w:rPr>
        <w:t>least</w:t>
      </w:r>
      <w:r w:rsidRPr="00467C54">
        <w:rPr>
          <w:rFonts w:asciiTheme="majorHAnsi" w:hAnsiTheme="majorHAnsi"/>
        </w:rPr>
        <w:t xml:space="preserve"> engaged were support services.</w:t>
      </w:r>
      <w:r w:rsidR="004A7772" w:rsidRPr="00467C54">
        <w:rPr>
          <w:rFonts w:asciiTheme="majorHAnsi" w:hAnsiTheme="majorHAnsi"/>
        </w:rPr>
        <w:t xml:space="preserve"> </w:t>
      </w:r>
    </w:p>
    <w:p w:rsidR="00E27239" w:rsidRPr="00467C54" w:rsidRDefault="00E27239" w:rsidP="00E27239">
      <w:pPr>
        <w:rPr>
          <w:rFonts w:asciiTheme="majorHAnsi" w:hAnsiTheme="majorHAnsi"/>
        </w:rPr>
      </w:pPr>
    </w:p>
    <w:p w:rsidR="00FC4BD4" w:rsidRPr="00467C54" w:rsidRDefault="00FC4BD4" w:rsidP="005A0156">
      <w:pPr>
        <w:pStyle w:val="ListParagraph"/>
        <w:numPr>
          <w:ilvl w:val="0"/>
          <w:numId w:val="28"/>
        </w:numPr>
        <w:rPr>
          <w:rFonts w:asciiTheme="majorHAnsi" w:hAnsiTheme="majorHAnsi"/>
        </w:rPr>
      </w:pPr>
      <w:r w:rsidRPr="00467C54">
        <w:rPr>
          <w:rFonts w:asciiTheme="majorHAnsi" w:hAnsiTheme="majorHAnsi"/>
        </w:rPr>
        <w:t xml:space="preserve">The four main factors </w:t>
      </w:r>
      <w:r w:rsidR="0006696D" w:rsidRPr="00467C54">
        <w:rPr>
          <w:rFonts w:asciiTheme="majorHAnsi" w:hAnsiTheme="majorHAnsi"/>
        </w:rPr>
        <w:t xml:space="preserve">established through principal component </w:t>
      </w:r>
      <w:r w:rsidR="00F81F64" w:rsidRPr="00467C54">
        <w:rPr>
          <w:rFonts w:asciiTheme="majorHAnsi" w:hAnsiTheme="majorHAnsi"/>
        </w:rPr>
        <w:t>analysis</w:t>
      </w:r>
      <w:r w:rsidR="0006696D" w:rsidRPr="00467C54">
        <w:rPr>
          <w:rFonts w:asciiTheme="majorHAnsi" w:hAnsiTheme="majorHAnsi"/>
        </w:rPr>
        <w:t xml:space="preserve"> </w:t>
      </w:r>
      <w:r w:rsidR="004A7772" w:rsidRPr="00467C54">
        <w:rPr>
          <w:rFonts w:asciiTheme="majorHAnsi" w:hAnsiTheme="majorHAnsi"/>
        </w:rPr>
        <w:t>mirrored the structure of the questionnaire</w:t>
      </w:r>
      <w:r w:rsidRPr="00467C54">
        <w:rPr>
          <w:rFonts w:asciiTheme="majorHAnsi" w:hAnsiTheme="majorHAnsi"/>
        </w:rPr>
        <w:t>:</w:t>
      </w:r>
    </w:p>
    <w:p w:rsidR="00FC4BD4" w:rsidRPr="00467C54" w:rsidRDefault="00FC4BD4" w:rsidP="005A0156">
      <w:pPr>
        <w:pStyle w:val="ListParagraph"/>
        <w:rPr>
          <w:rFonts w:asciiTheme="majorHAnsi" w:hAnsiTheme="majorHAnsi"/>
        </w:rPr>
      </w:pPr>
    </w:p>
    <w:p w:rsidR="00FC4BD4" w:rsidRPr="00467C54" w:rsidRDefault="00FC4BD4" w:rsidP="00BC2D65">
      <w:pPr>
        <w:pStyle w:val="ListParagraph"/>
        <w:numPr>
          <w:ilvl w:val="0"/>
          <w:numId w:val="34"/>
        </w:numPr>
        <w:rPr>
          <w:rFonts w:asciiTheme="majorHAnsi" w:hAnsiTheme="majorHAnsi"/>
        </w:rPr>
      </w:pPr>
      <w:r w:rsidRPr="00467C54">
        <w:rPr>
          <w:rFonts w:asciiTheme="majorHAnsi" w:hAnsiTheme="majorHAnsi"/>
        </w:rPr>
        <w:t>My experience as an individual</w:t>
      </w:r>
    </w:p>
    <w:p w:rsidR="00FC4BD4" w:rsidRPr="00467C54" w:rsidRDefault="00FC4BD4" w:rsidP="00BC2D65">
      <w:pPr>
        <w:pStyle w:val="ListParagraph"/>
        <w:numPr>
          <w:ilvl w:val="0"/>
          <w:numId w:val="34"/>
        </w:numPr>
        <w:rPr>
          <w:rFonts w:asciiTheme="majorHAnsi" w:hAnsiTheme="majorHAnsi"/>
        </w:rPr>
      </w:pPr>
      <w:r w:rsidRPr="00467C54">
        <w:rPr>
          <w:rFonts w:asciiTheme="majorHAnsi" w:hAnsiTheme="majorHAnsi"/>
        </w:rPr>
        <w:t>My experience with my direct line manager</w:t>
      </w:r>
    </w:p>
    <w:p w:rsidR="00FC4BD4" w:rsidRPr="00467C54" w:rsidRDefault="00FC4BD4" w:rsidP="00BC2D65">
      <w:pPr>
        <w:pStyle w:val="ListParagraph"/>
        <w:numPr>
          <w:ilvl w:val="0"/>
          <w:numId w:val="34"/>
        </w:numPr>
        <w:rPr>
          <w:rFonts w:asciiTheme="majorHAnsi" w:hAnsiTheme="majorHAnsi"/>
        </w:rPr>
      </w:pPr>
      <w:r w:rsidRPr="00467C54">
        <w:rPr>
          <w:rFonts w:asciiTheme="majorHAnsi" w:hAnsiTheme="majorHAnsi"/>
        </w:rPr>
        <w:t>My experience with my team</w:t>
      </w:r>
    </w:p>
    <w:p w:rsidR="00FC4BD4" w:rsidRPr="00467C54" w:rsidRDefault="00FC4BD4" w:rsidP="00BC2D65">
      <w:pPr>
        <w:pStyle w:val="ListParagraph"/>
        <w:numPr>
          <w:ilvl w:val="0"/>
          <w:numId w:val="34"/>
        </w:numPr>
        <w:rPr>
          <w:rFonts w:asciiTheme="majorHAnsi" w:hAnsiTheme="majorHAnsi"/>
        </w:rPr>
      </w:pPr>
      <w:r w:rsidRPr="00467C54">
        <w:rPr>
          <w:rFonts w:asciiTheme="majorHAnsi" w:hAnsiTheme="majorHAnsi"/>
        </w:rPr>
        <w:t>My experience with my organisation</w:t>
      </w:r>
    </w:p>
    <w:p w:rsidR="004A7772" w:rsidRPr="00467C54" w:rsidRDefault="004A7772" w:rsidP="005A0156">
      <w:pPr>
        <w:rPr>
          <w:rFonts w:asciiTheme="majorHAnsi" w:hAnsiTheme="majorHAnsi"/>
        </w:rPr>
      </w:pPr>
    </w:p>
    <w:p w:rsidR="00E8765F" w:rsidRPr="00467C54" w:rsidRDefault="004A7772" w:rsidP="005A0156">
      <w:pPr>
        <w:pStyle w:val="ListParagraph"/>
        <w:numPr>
          <w:ilvl w:val="0"/>
          <w:numId w:val="32"/>
        </w:numPr>
        <w:rPr>
          <w:rFonts w:asciiTheme="majorHAnsi" w:hAnsiTheme="majorHAnsi"/>
        </w:rPr>
      </w:pPr>
      <w:r w:rsidRPr="00467C54">
        <w:rPr>
          <w:rFonts w:asciiTheme="majorHAnsi" w:hAnsiTheme="majorHAnsi"/>
        </w:rPr>
        <w:t>Factor analysis is best explained by the item pla</w:t>
      </w:r>
      <w:r w:rsidR="00BC2D65" w:rsidRPr="00467C54">
        <w:rPr>
          <w:rFonts w:asciiTheme="majorHAnsi" w:hAnsiTheme="majorHAnsi"/>
        </w:rPr>
        <w:t>cement within the questionnaire.</w:t>
      </w:r>
      <w:r w:rsidRPr="00467C54">
        <w:rPr>
          <w:rFonts w:asciiTheme="majorHAnsi" w:hAnsiTheme="majorHAnsi"/>
        </w:rPr>
        <w:t xml:space="preserve"> </w:t>
      </w:r>
      <w:r w:rsidR="00BC2D65" w:rsidRPr="00467C54">
        <w:rPr>
          <w:rFonts w:asciiTheme="majorHAnsi" w:hAnsiTheme="majorHAnsi"/>
        </w:rPr>
        <w:t xml:space="preserve">Because of the variation in responses and </w:t>
      </w:r>
      <w:r w:rsidRPr="00467C54">
        <w:rPr>
          <w:rFonts w:asciiTheme="majorHAnsi" w:hAnsiTheme="majorHAnsi"/>
        </w:rPr>
        <w:t>the strength of the underpinning theory</w:t>
      </w:r>
      <w:r w:rsidR="00BC2D65" w:rsidRPr="00467C54">
        <w:rPr>
          <w:rFonts w:asciiTheme="majorHAnsi" w:hAnsiTheme="majorHAnsi"/>
        </w:rPr>
        <w:t xml:space="preserve"> this is a sign of reliability.</w:t>
      </w:r>
    </w:p>
    <w:p w:rsidR="004A7772" w:rsidRPr="00467C54" w:rsidRDefault="004A7772" w:rsidP="005A0156">
      <w:pPr>
        <w:pStyle w:val="ListParagraph"/>
        <w:rPr>
          <w:rFonts w:asciiTheme="majorHAnsi" w:hAnsiTheme="majorHAnsi"/>
        </w:rPr>
      </w:pPr>
    </w:p>
    <w:p w:rsidR="009B7A57" w:rsidRPr="00467C54" w:rsidRDefault="004A7772"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Rasch analysis showed</w:t>
      </w:r>
      <w:r w:rsidR="009B7A57" w:rsidRPr="00467C54">
        <w:rPr>
          <w:rFonts w:asciiTheme="majorHAnsi" w:eastAsia="Times New Roman" w:hAnsiTheme="majorHAnsi" w:cs="Calibri"/>
          <w:color w:val="000000"/>
          <w:lang w:eastAsia="en-GB"/>
        </w:rPr>
        <w:t xml:space="preserve"> the majority of items fit the model of staff engagement very well with the following exceptions:</w:t>
      </w:r>
    </w:p>
    <w:p w:rsidR="009B7A57" w:rsidRPr="00467C54" w:rsidRDefault="009B7A57" w:rsidP="005A0156">
      <w:pPr>
        <w:ind w:left="360"/>
        <w:rPr>
          <w:rFonts w:asciiTheme="majorHAnsi" w:eastAsia="Times New Roman" w:hAnsiTheme="majorHAnsi" w:cs="Calibri"/>
          <w:color w:val="000000"/>
          <w:lang w:eastAsia="en-GB"/>
        </w:rPr>
      </w:pPr>
    </w:p>
    <w:p w:rsidR="00E8765F" w:rsidRPr="00467C54" w:rsidRDefault="00E8765F" w:rsidP="005A0156">
      <w:pPr>
        <w:pStyle w:val="ListParagraph"/>
        <w:numPr>
          <w:ilvl w:val="0"/>
          <w:numId w:val="26"/>
        </w:numPr>
        <w:ind w:left="1440"/>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The reversed items 4, 16 and 22 do not fit the model</w:t>
      </w:r>
      <w:r w:rsidR="004A7772" w:rsidRPr="00467C54">
        <w:rPr>
          <w:rFonts w:asciiTheme="majorHAnsi" w:eastAsia="Times New Roman" w:hAnsiTheme="majorHAnsi" w:cs="Calibri"/>
          <w:color w:val="000000"/>
          <w:lang w:eastAsia="en-GB"/>
        </w:rPr>
        <w:t xml:space="preserve">. </w:t>
      </w:r>
      <w:r w:rsidR="009B7A57" w:rsidRPr="00467C54">
        <w:rPr>
          <w:rFonts w:asciiTheme="majorHAnsi" w:eastAsia="Times New Roman" w:hAnsiTheme="majorHAnsi" w:cs="Calibri"/>
          <w:color w:val="000000"/>
          <w:lang w:eastAsia="en-GB"/>
        </w:rPr>
        <w:t>Items 12, 13, 14, 15 &amp; 18 under</w:t>
      </w:r>
      <w:r w:rsidRPr="00467C54">
        <w:rPr>
          <w:rFonts w:asciiTheme="majorHAnsi" w:eastAsia="Times New Roman" w:hAnsiTheme="majorHAnsi" w:cs="Calibri"/>
          <w:color w:val="000000"/>
          <w:lang w:eastAsia="en-GB"/>
        </w:rPr>
        <w:t>fit the model</w:t>
      </w:r>
      <w:r w:rsidR="004A7772" w:rsidRPr="00467C54">
        <w:rPr>
          <w:rFonts w:asciiTheme="majorHAnsi" w:eastAsia="Times New Roman" w:hAnsiTheme="majorHAnsi" w:cs="Calibri"/>
          <w:color w:val="000000"/>
          <w:lang w:eastAsia="en-GB"/>
        </w:rPr>
        <w:t xml:space="preserve">. </w:t>
      </w:r>
      <w:r w:rsidRPr="00467C54">
        <w:rPr>
          <w:rFonts w:asciiTheme="majorHAnsi" w:eastAsia="Times New Roman" w:hAnsiTheme="majorHAnsi" w:cs="Calibri"/>
          <w:color w:val="000000"/>
          <w:lang w:eastAsia="en-GB"/>
        </w:rPr>
        <w:t>Item 6 overfits the model</w:t>
      </w:r>
    </w:p>
    <w:p w:rsidR="004A7772" w:rsidRPr="00467C54" w:rsidRDefault="004A7772" w:rsidP="005A0156">
      <w:pPr>
        <w:rPr>
          <w:rFonts w:asciiTheme="majorHAnsi" w:eastAsia="Times New Roman" w:hAnsiTheme="majorHAnsi" w:cs="Calibri"/>
          <w:color w:val="000000"/>
          <w:lang w:eastAsia="en-GB"/>
        </w:rPr>
      </w:pPr>
    </w:p>
    <w:p w:rsidR="004A7772" w:rsidRPr="00467C54" w:rsidRDefault="004A7772" w:rsidP="005A0156">
      <w:pPr>
        <w:pStyle w:val="ListParagraph"/>
        <w:numPr>
          <w:ilvl w:val="0"/>
          <w:numId w:val="26"/>
        </w:numPr>
        <w:ind w:left="1440"/>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Factor analysis accounts for the </w:t>
      </w:r>
      <w:r w:rsidR="0006696D" w:rsidRPr="00467C54">
        <w:rPr>
          <w:rFonts w:asciiTheme="majorHAnsi" w:eastAsia="Times New Roman" w:hAnsiTheme="majorHAnsi" w:cs="Calibri"/>
          <w:color w:val="000000"/>
          <w:lang w:eastAsia="en-GB"/>
        </w:rPr>
        <w:t xml:space="preserve">anomalous </w:t>
      </w:r>
      <w:r w:rsidRPr="00467C54">
        <w:rPr>
          <w:rFonts w:asciiTheme="majorHAnsi" w:eastAsia="Times New Roman" w:hAnsiTheme="majorHAnsi" w:cs="Calibri"/>
          <w:color w:val="000000"/>
          <w:lang w:eastAsia="en-GB"/>
        </w:rPr>
        <w:t>fit statistics with the exception of the reverse items. These should be amended.</w:t>
      </w:r>
    </w:p>
    <w:p w:rsidR="00E8765F" w:rsidRPr="00467C54" w:rsidRDefault="00E8765F" w:rsidP="005A0156">
      <w:pPr>
        <w:rPr>
          <w:rFonts w:asciiTheme="majorHAnsi" w:eastAsia="Times New Roman" w:hAnsiTheme="majorHAnsi" w:cs="Calibri"/>
          <w:color w:val="000000"/>
          <w:lang w:eastAsia="en-GB"/>
        </w:rPr>
      </w:pPr>
    </w:p>
    <w:p w:rsidR="00E8765F" w:rsidRPr="00467C54" w:rsidRDefault="00E8765F" w:rsidP="005A0156">
      <w:pPr>
        <w:pStyle w:val="ListParagraph"/>
        <w:numPr>
          <w:ilvl w:val="0"/>
          <w:numId w:val="26"/>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The res</w:t>
      </w:r>
      <w:r w:rsidR="009B7A57" w:rsidRPr="00467C54">
        <w:rPr>
          <w:rFonts w:asciiTheme="majorHAnsi" w:eastAsia="Times New Roman" w:hAnsiTheme="majorHAnsi" w:cs="Calibri"/>
          <w:color w:val="000000"/>
          <w:lang w:eastAsia="en-GB"/>
        </w:rPr>
        <w:t>t of the items show enough variation to contribute uniquely to the overall construct of staff engagement.</w:t>
      </w:r>
    </w:p>
    <w:p w:rsidR="00E8765F" w:rsidRPr="00467C54" w:rsidRDefault="00E8765F" w:rsidP="005A0156">
      <w:pPr>
        <w:rPr>
          <w:rFonts w:asciiTheme="majorHAnsi" w:hAnsiTheme="majorHAnsi"/>
        </w:rPr>
      </w:pPr>
    </w:p>
    <w:p w:rsidR="0006696D" w:rsidRPr="00467C54" w:rsidRDefault="009B7A57" w:rsidP="005A0156">
      <w:pPr>
        <w:rPr>
          <w:rFonts w:asciiTheme="majorHAnsi" w:hAnsiTheme="majorHAnsi"/>
        </w:rPr>
      </w:pPr>
      <w:r w:rsidRPr="00467C54">
        <w:rPr>
          <w:rFonts w:asciiTheme="majorHAnsi" w:hAnsiTheme="majorHAnsi"/>
        </w:rPr>
        <w:t>Before we can make any recommendations from these findings it is important to consider the strengths and weaknesses of the analytic approach we have adopted here.</w:t>
      </w:r>
    </w:p>
    <w:p w:rsidR="006A09B0" w:rsidRPr="00467C54" w:rsidRDefault="006A09B0" w:rsidP="005A0156">
      <w:pPr>
        <w:pStyle w:val="Heading3"/>
        <w:rPr>
          <w:rFonts w:eastAsia="Times New Roman"/>
          <w:lang w:eastAsia="en-GB"/>
        </w:rPr>
      </w:pPr>
      <w:bookmarkStart w:id="88" w:name="_Toc351201893"/>
      <w:r w:rsidRPr="00467C54">
        <w:rPr>
          <w:rFonts w:eastAsia="Times New Roman"/>
          <w:lang w:eastAsia="en-GB"/>
        </w:rPr>
        <w:t>Context and theory:  why these findings are valid</w:t>
      </w:r>
      <w:bookmarkEnd w:id="88"/>
    </w:p>
    <w:p w:rsidR="00992909" w:rsidRPr="00467C54" w:rsidRDefault="00992909" w:rsidP="005A0156">
      <w:pPr>
        <w:rPr>
          <w:rFonts w:asciiTheme="majorHAnsi" w:eastAsia="Times New Roman" w:hAnsiTheme="majorHAnsi" w:cs="Calibri"/>
          <w:color w:val="000000"/>
          <w:lang w:eastAsia="en-GB"/>
        </w:rPr>
      </w:pPr>
    </w:p>
    <w:p w:rsidR="00992909" w:rsidRPr="00467C54" w:rsidRDefault="00992909" w:rsidP="005A0156">
      <w:pPr>
        <w:spacing w:after="120"/>
        <w:ind w:right="-138"/>
        <w:rPr>
          <w:rFonts w:asciiTheme="majorHAnsi" w:hAnsiTheme="majorHAnsi" w:cstheme="minorHAnsi"/>
        </w:rPr>
      </w:pPr>
      <w:r w:rsidRPr="00467C54">
        <w:rPr>
          <w:rFonts w:asciiTheme="majorHAnsi" w:hAnsiTheme="majorHAnsi" w:cstheme="minorHAnsi"/>
        </w:rPr>
        <w:t xml:space="preserve">The credibility of inferences that can be drawn from any questionnaire is a function of the robustness of the initial conceptual model </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"DOI" : "10.1177/1073191111411667.Item", "author" : [ { "family" : "Pilkonis", "given" : "P.A." }, { "family" : "Choi", "given" : "SW" }, { "family" : "Reise", "given" : "S.P." }, { "family" : "Stover", "given" : "A.M." } ], "container-title" : "Assessment", "id" : "ITEM-1", "issue" : "3", "issued" : { "date-parts" : [ [ "2011" ] ] }, "note" : "&lt;m:note/&gt;", "page" : "263-283", "title" : "Item banks for measuring emotional distress from the Patient Reported Outcomes Measurement Information System (PROMIS): Depression, Anxiety and Anger", "type" : "article-journal", "volume" : "18" }, "uris" : [ "http://www.mendeley.com/documents/?uuid=b59dac22-b1c5-46e3-a702-ec2516dc3fac" ] } ], "mendeley" : { "previouslyFormattedCitation" : "&lt;sup&gt;16&lt;/sup&gt;"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16</w:t>
      </w:r>
      <w:r w:rsidR="006F6711" w:rsidRPr="00467C54">
        <w:rPr>
          <w:rFonts w:asciiTheme="majorHAnsi" w:hAnsiTheme="majorHAnsi" w:cstheme="minorHAnsi"/>
        </w:rPr>
        <w:fldChar w:fldCharType="end"/>
      </w:r>
      <w:r w:rsidRPr="00467C54">
        <w:rPr>
          <w:rFonts w:asciiTheme="majorHAnsi" w:hAnsiTheme="majorHAnsi" w:cstheme="minorHAnsi"/>
        </w:rPr>
        <w:t xml:space="preserve">. A valid scale is one that allows us to make accurate inferences about someone. What this means in relation to </w:t>
      </w:r>
      <w:r w:rsidR="009B7A57" w:rsidRPr="00467C54">
        <w:rPr>
          <w:rFonts w:asciiTheme="majorHAnsi" w:hAnsiTheme="majorHAnsi" w:cstheme="minorHAnsi"/>
        </w:rPr>
        <w:t>recommendations for this scale</w:t>
      </w:r>
      <w:r w:rsidRPr="00467C54">
        <w:rPr>
          <w:rFonts w:asciiTheme="majorHAnsi" w:hAnsiTheme="majorHAnsi" w:cstheme="minorHAnsi"/>
        </w:rPr>
        <w:t xml:space="preserve"> is that the central question always remains:</w:t>
      </w:r>
    </w:p>
    <w:p w:rsidR="00992909" w:rsidRPr="00467C54" w:rsidRDefault="00992909" w:rsidP="005A0156">
      <w:pPr>
        <w:pStyle w:val="Indent"/>
        <w:spacing w:line="276" w:lineRule="auto"/>
        <w:jc w:val="both"/>
      </w:pPr>
      <w:r w:rsidRPr="00467C54">
        <w:t xml:space="preserve"> ‘Do the results of this study allow us to draw the inferences about the people that we wish to make’ </w:t>
      </w:r>
      <w:r w:rsidR="006F6711" w:rsidRPr="00467C54">
        <w:fldChar w:fldCharType="begin" w:fldLock="1"/>
      </w:r>
      <w:r w:rsidR="00EB25FC" w:rsidRPr="00467C54">
        <w:instrText>ADDIN CSL_CITATION { "citationItems" : [ { "id" : "ITEM-1", "itemData" : { "author" : [ { "family" : "Streiner", "given" : "DL." }, { "family" : "Norman, GR.", "given" : "" } ], "edition" : "4", "id" : "ITEM-1", "issued" : { "date-parts" : [ [ "2008" ] ] }, "note" : "&lt;m:note/&gt;", "publisher" : "Oxford University Press", "publisher-place" : "New York, NY", "title" : "Health Measurement Scales: A Practical Guide to their Development and Use.", "type" : "book" }, "uris" : [ "http://www.mendeley.com/documents/?uuid=0fe8077e-bb4e-43bd-83ac-363774e02841" ] } ], "mendeley" : { "previouslyFormattedCitation" : "&lt;sup&gt;17&lt;/sup&gt;" }, "properties" : { "noteIndex" : 0 }, "schema" : "https://github.com/citation-style-language/schema/raw/master/csl-citation.json" }</w:instrText>
      </w:r>
      <w:r w:rsidR="006F6711" w:rsidRPr="00467C54">
        <w:fldChar w:fldCharType="separate"/>
      </w:r>
      <w:r w:rsidR="00EB25FC" w:rsidRPr="00467C54">
        <w:rPr>
          <w:i w:val="0"/>
          <w:noProof/>
          <w:vertAlign w:val="superscript"/>
        </w:rPr>
        <w:t>17</w:t>
      </w:r>
      <w:r w:rsidR="006F6711" w:rsidRPr="00467C54">
        <w:fldChar w:fldCharType="end"/>
      </w:r>
    </w:p>
    <w:p w:rsidR="00946927" w:rsidRPr="00467C54" w:rsidRDefault="00992909" w:rsidP="005A0156">
      <w:pPr>
        <w:spacing w:after="120"/>
        <w:ind w:right="-138"/>
        <w:rPr>
          <w:rFonts w:asciiTheme="majorHAnsi" w:hAnsiTheme="majorHAnsi" w:cstheme="minorHAnsi"/>
        </w:rPr>
      </w:pPr>
      <w:r w:rsidRPr="00467C54">
        <w:rPr>
          <w:rFonts w:asciiTheme="majorHAnsi" w:hAnsiTheme="majorHAnsi" w:cstheme="minorHAnsi"/>
        </w:rPr>
        <w:t xml:space="preserve">The importance of this apparently straightforward statement cannot be overstated. It impacts upon scale development by focusing attention on the </w:t>
      </w:r>
      <w:r w:rsidRPr="00467C54">
        <w:rPr>
          <w:rFonts w:asciiTheme="majorHAnsi" w:hAnsiTheme="majorHAnsi" w:cstheme="minorHAnsi"/>
          <w:i/>
        </w:rPr>
        <w:t>purpose</w:t>
      </w:r>
      <w:r w:rsidRPr="00467C54">
        <w:rPr>
          <w:rFonts w:asciiTheme="majorHAnsi" w:hAnsiTheme="majorHAnsi" w:cstheme="minorHAnsi"/>
        </w:rPr>
        <w:t xml:space="preserve"> of the scale </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"URL" : "http://www.kingsfund.org.uk/blog/patient_exp.html", "accessed" : { "date-parts" : [ [ "2012", "8", "18" ] ] }, "author" : [ { "family" : "Cornwell", "given" : "J." } ], "id" : "ITEM-1", "issued" : { "date-parts" : [ [ "2012" ] ] }, "note" : "&lt;m:note/&gt;", "title" : "Why we need a national framework for patient experience", "type" : "webpage" }, "uris" : [ "http://www.mendeley.com/documents/?uuid=c401a8b8-40f4-4320-b30f-475227c53723" ] } ], "mendeley" : { "previouslyFormattedCitation" : "&lt;sup&gt;18&lt;/sup&gt;"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18</w:t>
      </w:r>
      <w:r w:rsidR="006F6711" w:rsidRPr="00467C54">
        <w:rPr>
          <w:rFonts w:asciiTheme="majorHAnsi" w:hAnsiTheme="majorHAnsi" w:cstheme="minorHAnsi"/>
        </w:rPr>
        <w:fldChar w:fldCharType="end"/>
      </w:r>
      <w:r w:rsidRPr="00467C54">
        <w:rPr>
          <w:rFonts w:asciiTheme="majorHAnsi" w:hAnsiTheme="majorHAnsi" w:cstheme="minorHAnsi"/>
        </w:rPr>
        <w:t xml:space="preserve">. Validation is a unitary construct that tests the theory and the measure at the same time </w:t>
      </w:r>
      <w:r w:rsidR="006F6711" w:rsidRPr="00467C54">
        <w:rPr>
          <w:rFonts w:asciiTheme="majorHAnsi" w:hAnsiTheme="majorHAnsi" w:cstheme="minorHAnsi"/>
        </w:rPr>
        <w:fldChar w:fldCharType="begin" w:fldLock="1"/>
      </w:r>
      <w:r w:rsidR="00EB25FC" w:rsidRPr="00467C54">
        <w:rPr>
          <w:rFonts w:asciiTheme="majorHAnsi" w:hAnsiTheme="majorHAnsi" w:cstheme="minorHAnsi"/>
        </w:rPr>
        <w:instrText>ADDIN CSL_CITATION { "citationItems" : [ { "id" : "ITEM-1", "itemData" : { "author" : [ { "family" : "Streiner", "given" : "DL." }, { "family" : "Norman, GR.", "given" : "" } ], "edition" : "4", "id" : "ITEM-1", "issued" : { "date-parts" : [ [ "2008" ] ] }, "note" : "&lt;m:note/&gt;", "publisher" : "Oxford University Press", "publisher-place" : "New York, NY", "title" : "Health Measurement Scales: A Practical Guide to their Development and Use.", "type" : "book" }, "uris" : [ "http://www.mendeley.com/documents/?uuid=0fe8077e-bb4e-43bd-83ac-363774e02841" ] } ], "mendeley" : { "previouslyFormattedCitation" : "&lt;sup&gt;17&lt;/sup&gt;" }, "properties" : { "noteIndex" : 0 }, "schema" : "https://github.com/citation-style-language/schema/raw/master/csl-citation.json" }</w:instrText>
      </w:r>
      <w:r w:rsidR="006F6711" w:rsidRPr="00467C54">
        <w:rPr>
          <w:rFonts w:asciiTheme="majorHAnsi" w:hAnsiTheme="majorHAnsi" w:cstheme="minorHAnsi"/>
        </w:rPr>
        <w:fldChar w:fldCharType="separate"/>
      </w:r>
      <w:r w:rsidR="00EB25FC" w:rsidRPr="00467C54">
        <w:rPr>
          <w:rFonts w:asciiTheme="majorHAnsi" w:hAnsiTheme="majorHAnsi" w:cstheme="minorHAnsi"/>
          <w:noProof/>
          <w:vertAlign w:val="superscript"/>
        </w:rPr>
        <w:t>17</w:t>
      </w:r>
      <w:r w:rsidR="006F6711" w:rsidRPr="00467C54">
        <w:rPr>
          <w:rFonts w:asciiTheme="majorHAnsi" w:hAnsiTheme="majorHAnsi" w:cstheme="minorHAnsi"/>
        </w:rPr>
        <w:fldChar w:fldCharType="end"/>
      </w:r>
      <w:r w:rsidRPr="00467C54">
        <w:rPr>
          <w:rFonts w:asciiTheme="majorHAnsi" w:hAnsiTheme="majorHAnsi" w:cstheme="minorHAnsi"/>
        </w:rPr>
        <w:t>. This in turn highlights the importance of grounding the N</w:t>
      </w:r>
      <w:r w:rsidR="007446E7" w:rsidRPr="00467C54">
        <w:rPr>
          <w:rFonts w:asciiTheme="majorHAnsi" w:hAnsiTheme="majorHAnsi" w:cstheme="minorHAnsi"/>
        </w:rPr>
        <w:t>H</w:t>
      </w:r>
      <w:r w:rsidRPr="00467C54">
        <w:rPr>
          <w:rFonts w:asciiTheme="majorHAnsi" w:hAnsiTheme="majorHAnsi" w:cstheme="minorHAnsi"/>
        </w:rPr>
        <w:t xml:space="preserve">SEEI development in a sophisticated and testable conceptual model of what staff engagement is and how it is expressed, understood and evaluated. Because this </w:t>
      </w:r>
      <w:r w:rsidR="00263F52" w:rsidRPr="00467C54">
        <w:rPr>
          <w:rFonts w:asciiTheme="majorHAnsi" w:hAnsiTheme="majorHAnsi" w:cstheme="minorHAnsi"/>
        </w:rPr>
        <w:t xml:space="preserve">scale is theoretically grounded, </w:t>
      </w:r>
      <w:r w:rsidRPr="00467C54">
        <w:rPr>
          <w:rFonts w:asciiTheme="majorHAnsi" w:hAnsiTheme="majorHAnsi" w:cstheme="minorHAnsi"/>
        </w:rPr>
        <w:t xml:space="preserve">developed by staff and modified through a process of consultation over a series of </w:t>
      </w:r>
      <w:r w:rsidR="00263F52" w:rsidRPr="00467C54">
        <w:rPr>
          <w:rFonts w:asciiTheme="majorHAnsi" w:hAnsiTheme="majorHAnsi" w:cstheme="minorHAnsi"/>
        </w:rPr>
        <w:t xml:space="preserve">robust </w:t>
      </w:r>
      <w:r w:rsidRPr="00467C54">
        <w:rPr>
          <w:rFonts w:asciiTheme="majorHAnsi" w:hAnsiTheme="majorHAnsi" w:cstheme="minorHAnsi"/>
        </w:rPr>
        <w:t xml:space="preserve">cycles the results of this study </w:t>
      </w:r>
      <w:r w:rsidRPr="00467C54">
        <w:rPr>
          <w:rFonts w:asciiTheme="majorHAnsi" w:hAnsiTheme="majorHAnsi" w:cstheme="minorHAnsi"/>
          <w:i/>
        </w:rPr>
        <w:t>do</w:t>
      </w:r>
      <w:r w:rsidRPr="00467C54">
        <w:rPr>
          <w:rFonts w:asciiTheme="majorHAnsi" w:hAnsiTheme="majorHAnsi" w:cstheme="minorHAnsi"/>
        </w:rPr>
        <w:t xml:space="preserve"> allow us to draw the inferences we wish to make. Therefore, when we scrutinise the factor structure or item fit we can be confident that these issues are conceptually rich. </w:t>
      </w:r>
    </w:p>
    <w:p w:rsidR="006A09B0" w:rsidRPr="00467C54" w:rsidRDefault="006A09B0" w:rsidP="005A0156">
      <w:pPr>
        <w:pStyle w:val="Heading3"/>
      </w:pPr>
      <w:bookmarkStart w:id="89" w:name="_Toc351201894"/>
      <w:r w:rsidRPr="00467C54">
        <w:t>A justification for factor analysis</w:t>
      </w:r>
      <w:bookmarkEnd w:id="89"/>
    </w:p>
    <w:p w:rsidR="006A09B0" w:rsidRPr="00467C54" w:rsidRDefault="006A09B0" w:rsidP="005A0156">
      <w:pPr>
        <w:rPr>
          <w:rFonts w:asciiTheme="majorHAnsi" w:hAnsiTheme="majorHAnsi"/>
        </w:rPr>
      </w:pPr>
    </w:p>
    <w:p w:rsidR="001D095E" w:rsidRPr="00467C54" w:rsidRDefault="002F079F"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The goal of factor analysis is to lo</w:t>
      </w:r>
      <w:r w:rsidR="00A23861" w:rsidRPr="00467C54">
        <w:rPr>
          <w:rFonts w:asciiTheme="majorHAnsi" w:eastAsia="Times New Roman" w:hAnsiTheme="majorHAnsi" w:cs="Calibri"/>
          <w:color w:val="000000"/>
          <w:lang w:eastAsia="en-GB"/>
        </w:rPr>
        <w:t>o</w:t>
      </w:r>
      <w:r w:rsidRPr="00467C54">
        <w:rPr>
          <w:rFonts w:asciiTheme="majorHAnsi" w:eastAsia="Times New Roman" w:hAnsiTheme="majorHAnsi" w:cs="Calibri"/>
          <w:color w:val="000000"/>
          <w:lang w:eastAsia="en-GB"/>
        </w:rPr>
        <w:t>k at al</w:t>
      </w:r>
      <w:r w:rsidR="00A23861" w:rsidRPr="00467C54">
        <w:rPr>
          <w:rFonts w:asciiTheme="majorHAnsi" w:eastAsia="Times New Roman" w:hAnsiTheme="majorHAnsi" w:cs="Calibri"/>
          <w:color w:val="000000"/>
          <w:lang w:eastAsia="en-GB"/>
        </w:rPr>
        <w:t>l</w:t>
      </w:r>
      <w:r w:rsidRPr="00467C54">
        <w:rPr>
          <w:rFonts w:asciiTheme="majorHAnsi" w:eastAsia="Times New Roman" w:hAnsiTheme="majorHAnsi" w:cs="Calibri"/>
          <w:color w:val="000000"/>
          <w:lang w:eastAsia="en-GB"/>
        </w:rPr>
        <w:t xml:space="preserve"> the pairwise relationships</w:t>
      </w:r>
      <w:r w:rsidR="00A23861" w:rsidRPr="00467C54">
        <w:rPr>
          <w:rFonts w:asciiTheme="majorHAnsi" w:eastAsia="Times New Roman" w:hAnsiTheme="majorHAnsi" w:cs="Calibri"/>
          <w:color w:val="000000"/>
          <w:lang w:eastAsia="en-GB"/>
        </w:rPr>
        <w:t xml:space="preserve"> (correlations) between variables (questionnaire items)</w:t>
      </w:r>
      <w:r w:rsidRPr="00467C54">
        <w:rPr>
          <w:rFonts w:asciiTheme="majorHAnsi" w:eastAsia="Times New Roman" w:hAnsiTheme="majorHAnsi" w:cs="Calibri"/>
          <w:color w:val="000000"/>
          <w:lang w:eastAsia="en-GB"/>
        </w:rPr>
        <w:t xml:space="preserve"> and identify those var</w:t>
      </w:r>
      <w:r w:rsidR="008A3DC0" w:rsidRPr="00467C54">
        <w:rPr>
          <w:rFonts w:asciiTheme="majorHAnsi" w:eastAsia="Times New Roman" w:hAnsiTheme="majorHAnsi" w:cs="Calibri"/>
          <w:color w:val="000000"/>
          <w:lang w:eastAsia="en-GB"/>
        </w:rPr>
        <w:t>iables that correlate</w:t>
      </w:r>
      <w:r w:rsidR="00A23861" w:rsidRPr="00467C54">
        <w:rPr>
          <w:rFonts w:asciiTheme="majorHAnsi" w:eastAsia="Times New Roman" w:hAnsiTheme="majorHAnsi" w:cs="Calibri"/>
          <w:color w:val="000000"/>
          <w:lang w:eastAsia="en-GB"/>
        </w:rPr>
        <w:t xml:space="preserve"> most </w:t>
      </w:r>
      <w:r w:rsidRPr="00467C54">
        <w:rPr>
          <w:rFonts w:asciiTheme="majorHAnsi" w:eastAsia="Times New Roman" w:hAnsiTheme="majorHAnsi" w:cs="Calibri"/>
          <w:color w:val="000000"/>
          <w:lang w:eastAsia="en-GB"/>
        </w:rPr>
        <w:t>closely with e</w:t>
      </w:r>
      <w:r w:rsidR="00A23861" w:rsidRPr="00467C54">
        <w:rPr>
          <w:rFonts w:asciiTheme="majorHAnsi" w:eastAsia="Times New Roman" w:hAnsiTheme="majorHAnsi" w:cs="Calibri"/>
          <w:color w:val="000000"/>
          <w:lang w:eastAsia="en-GB"/>
        </w:rPr>
        <w:t>ach other.</w:t>
      </w:r>
      <w:r w:rsidR="008A3DC0" w:rsidRPr="00467C54">
        <w:rPr>
          <w:rFonts w:asciiTheme="majorHAnsi" w:eastAsia="Times New Roman" w:hAnsiTheme="majorHAnsi" w:cs="Calibri"/>
          <w:color w:val="000000"/>
          <w:lang w:eastAsia="en-GB"/>
        </w:rPr>
        <w:t xml:space="preserve">  The purpose of this is to group the </w:t>
      </w:r>
      <w:r w:rsidR="00B0494D" w:rsidRPr="00467C54">
        <w:rPr>
          <w:rFonts w:asciiTheme="majorHAnsi" w:eastAsia="Times New Roman" w:hAnsiTheme="majorHAnsi" w:cs="Calibri"/>
          <w:color w:val="000000"/>
          <w:lang w:eastAsia="en-GB"/>
        </w:rPr>
        <w:t xml:space="preserve">items </w:t>
      </w:r>
      <w:r w:rsidR="008A3DC0" w:rsidRPr="00467C54">
        <w:rPr>
          <w:rFonts w:asciiTheme="majorHAnsi" w:eastAsia="Times New Roman" w:hAnsiTheme="majorHAnsi" w:cs="Calibri"/>
          <w:color w:val="000000"/>
          <w:lang w:eastAsia="en-GB"/>
        </w:rPr>
        <w:t>into ‘factors’. Once we have done this we need to interpret what these factors mean. Because the questionnaire was built</w:t>
      </w:r>
      <w:r w:rsidR="00BC2D65" w:rsidRPr="00467C54">
        <w:rPr>
          <w:rFonts w:asciiTheme="majorHAnsi" w:eastAsia="Times New Roman" w:hAnsiTheme="majorHAnsi" w:cs="Calibri"/>
          <w:color w:val="000000"/>
          <w:lang w:eastAsia="en-GB"/>
        </w:rPr>
        <w:t xml:space="preserve"> from the principles in figure 1</w:t>
      </w:r>
      <w:r w:rsidR="008A3DC0" w:rsidRPr="00467C54">
        <w:rPr>
          <w:rFonts w:asciiTheme="majorHAnsi" w:eastAsia="Times New Roman" w:hAnsiTheme="majorHAnsi" w:cs="Calibri"/>
          <w:color w:val="000000"/>
          <w:lang w:eastAsia="en-GB"/>
        </w:rPr>
        <w:t xml:space="preserve"> we would hope that factor analysis would show us that our groups of items do in fact map on to these principles. If they do then the factor analysis has shown that the underpinning structure is consistent with our theoretical position. The questionnaire measures what we hope it is measuring.</w:t>
      </w:r>
    </w:p>
    <w:p w:rsidR="008A3DC0" w:rsidRPr="00467C54" w:rsidRDefault="008A3DC0" w:rsidP="005A0156">
      <w:pPr>
        <w:rPr>
          <w:rFonts w:asciiTheme="majorHAnsi" w:eastAsia="Times New Roman" w:hAnsiTheme="majorHAnsi" w:cs="Calibri"/>
          <w:color w:val="000000"/>
          <w:lang w:eastAsia="en-GB"/>
        </w:rPr>
      </w:pPr>
    </w:p>
    <w:p w:rsidR="006A09B0" w:rsidRPr="00467C54" w:rsidRDefault="008A3DC0"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However, in a sense this is circular logic. We are bound to interpret the factors as expressions of the principles because those principles drove the development of the questionnaire in the first place. This is why we tried to interpret the factor structure without reference to underpinning theory in the interim report. It was subsequently possible to show that this interpretation was also consistent with the original drivers. </w:t>
      </w:r>
      <w:r w:rsidR="00E8765F" w:rsidRPr="00467C54">
        <w:rPr>
          <w:rFonts w:asciiTheme="majorHAnsi" w:eastAsia="Times New Roman" w:hAnsiTheme="majorHAnsi" w:cs="Calibri"/>
          <w:color w:val="000000"/>
          <w:lang w:eastAsia="en-GB"/>
        </w:rPr>
        <w:t xml:space="preserve">This </w:t>
      </w:r>
      <w:r w:rsidR="000E75BD" w:rsidRPr="00467C54">
        <w:rPr>
          <w:rFonts w:asciiTheme="majorHAnsi" w:eastAsia="Times New Roman" w:hAnsiTheme="majorHAnsi" w:cs="Calibri"/>
          <w:color w:val="000000"/>
          <w:lang w:eastAsia="en-GB"/>
        </w:rPr>
        <w:t xml:space="preserve">principle holds in </w:t>
      </w:r>
      <w:r w:rsidR="00E8765F" w:rsidRPr="00467C54">
        <w:rPr>
          <w:rFonts w:asciiTheme="majorHAnsi" w:eastAsia="Times New Roman" w:hAnsiTheme="majorHAnsi" w:cs="Calibri"/>
          <w:color w:val="000000"/>
          <w:lang w:eastAsia="en-GB"/>
        </w:rPr>
        <w:t>this final report</w:t>
      </w:r>
      <w:r w:rsidR="000E75BD" w:rsidRPr="00467C54">
        <w:rPr>
          <w:rFonts w:asciiTheme="majorHAnsi" w:eastAsia="Times New Roman" w:hAnsiTheme="majorHAnsi" w:cs="Calibri"/>
          <w:color w:val="000000"/>
          <w:lang w:eastAsia="en-GB"/>
        </w:rPr>
        <w:t>, although the factors are best explained by their categorical placement within the questionnaire</w:t>
      </w:r>
      <w:r w:rsidR="00E8765F" w:rsidRPr="00467C54">
        <w:rPr>
          <w:rFonts w:asciiTheme="majorHAnsi" w:eastAsia="Times New Roman" w:hAnsiTheme="majorHAnsi" w:cs="Calibri"/>
          <w:color w:val="000000"/>
          <w:lang w:eastAsia="en-GB"/>
        </w:rPr>
        <w:t xml:space="preserve">. </w:t>
      </w:r>
      <w:r w:rsidRPr="00467C54">
        <w:rPr>
          <w:rFonts w:asciiTheme="majorHAnsi" w:eastAsia="Times New Roman" w:hAnsiTheme="majorHAnsi" w:cs="Calibri"/>
          <w:color w:val="000000"/>
          <w:lang w:eastAsia="en-GB"/>
        </w:rPr>
        <w:t xml:space="preserve">Nevertheless this shows a limitation of factor analysis and is why we went further and used Rasch analysis to deepen our understanding of the performance of the </w:t>
      </w:r>
      <w:r w:rsidR="000E75BD" w:rsidRPr="00467C54">
        <w:rPr>
          <w:rFonts w:asciiTheme="majorHAnsi" w:eastAsia="Times New Roman" w:hAnsiTheme="majorHAnsi" w:cs="Calibri"/>
          <w:color w:val="000000"/>
          <w:lang w:eastAsia="en-GB"/>
        </w:rPr>
        <w:t xml:space="preserve">items within </w:t>
      </w:r>
      <w:r w:rsidRPr="00467C54">
        <w:rPr>
          <w:rFonts w:asciiTheme="majorHAnsi" w:eastAsia="Times New Roman" w:hAnsiTheme="majorHAnsi" w:cs="Calibri"/>
          <w:color w:val="000000"/>
          <w:lang w:eastAsia="en-GB"/>
        </w:rPr>
        <w:t xml:space="preserve">questionnaire. </w:t>
      </w:r>
    </w:p>
    <w:p w:rsidR="006A09B0" w:rsidRPr="00467C54" w:rsidRDefault="006A09B0" w:rsidP="005A0156">
      <w:pPr>
        <w:pStyle w:val="Heading3"/>
        <w:rPr>
          <w:rFonts w:eastAsia="Times New Roman"/>
          <w:lang w:eastAsia="en-GB"/>
        </w:rPr>
      </w:pPr>
      <w:bookmarkStart w:id="90" w:name="_Toc351201895"/>
      <w:r w:rsidRPr="00467C54">
        <w:rPr>
          <w:rFonts w:eastAsia="Times New Roman"/>
          <w:lang w:eastAsia="en-GB"/>
        </w:rPr>
        <w:t>A justification for Rasch analysis</w:t>
      </w:r>
      <w:bookmarkEnd w:id="90"/>
    </w:p>
    <w:p w:rsidR="008A3DC0" w:rsidRPr="00467C54" w:rsidRDefault="008A3DC0" w:rsidP="005A0156">
      <w:pPr>
        <w:rPr>
          <w:rFonts w:asciiTheme="majorHAnsi" w:eastAsia="Times New Roman" w:hAnsiTheme="majorHAnsi" w:cs="Calibri"/>
          <w:color w:val="000000"/>
          <w:lang w:eastAsia="en-GB"/>
        </w:rPr>
      </w:pPr>
    </w:p>
    <w:p w:rsidR="001D095E" w:rsidRPr="00467C54" w:rsidRDefault="008A3DC0"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Rasch analysis takes a very different approach to factor analysis in that it begins by assuming we are measuring a unitary construct. One of the purposes of Rasch analysis is to test this assumption. So instead of looking for factors we are looking to assess the degree to which al</w:t>
      </w:r>
      <w:r w:rsidR="00D973B9" w:rsidRPr="00467C54">
        <w:rPr>
          <w:rFonts w:asciiTheme="majorHAnsi" w:eastAsia="Times New Roman" w:hAnsiTheme="majorHAnsi" w:cs="Calibri"/>
          <w:color w:val="000000"/>
          <w:lang w:eastAsia="en-GB"/>
        </w:rPr>
        <w:t>l</w:t>
      </w:r>
      <w:r w:rsidRPr="00467C54">
        <w:rPr>
          <w:rFonts w:asciiTheme="majorHAnsi" w:eastAsia="Times New Roman" w:hAnsiTheme="majorHAnsi" w:cs="Calibri"/>
          <w:color w:val="000000"/>
          <w:lang w:eastAsia="en-GB"/>
        </w:rPr>
        <w:t xml:space="preserve"> the items measure the same underpinning </w:t>
      </w:r>
      <w:r w:rsidR="001A15A0" w:rsidRPr="00467C54">
        <w:rPr>
          <w:rFonts w:asciiTheme="majorHAnsi" w:eastAsia="Times New Roman" w:hAnsiTheme="majorHAnsi" w:cs="Calibri"/>
          <w:color w:val="000000"/>
          <w:lang w:eastAsia="en-GB"/>
        </w:rPr>
        <w:t>trait. This is called the latent trait in the Rasch literature</w:t>
      </w:r>
      <w:r w:rsidR="006F6711" w:rsidRPr="00467C54">
        <w:rPr>
          <w:rFonts w:asciiTheme="majorHAnsi" w:eastAsia="Times New Roman" w:hAnsiTheme="majorHAnsi" w:cs="Calibri"/>
          <w:color w:val="000000"/>
          <w:lang w:eastAsia="en-GB"/>
        </w:rPr>
        <w:fldChar w:fldCharType="begin" w:fldLock="1"/>
      </w:r>
      <w:r w:rsidR="00EB25FC" w:rsidRPr="00467C54">
        <w:rPr>
          <w:rFonts w:asciiTheme="majorHAnsi" w:eastAsia="Times New Roman" w:hAnsiTheme="majorHAnsi" w:cs="Calibri"/>
          <w:color w:val="000000"/>
          <w:lang w:eastAsia="en-GB"/>
        </w:rPr>
        <w:instrText>ADDIN CSL_CITATION { "citationItems" : [ { "id" : "ITEM-1", "itemData" : { "author" : [ { "family" : "Bond", "given" : "T.G." }, { "family" : "Fox", "given" : "C.M." } ], "edition" : "2", "id" : "ITEM-1", "issued" : { "date-parts" : [ [ "2007" ] ] }, "note" : "&lt;m:note/&gt;", "page" : "339", "publisher" : "Routeledge", "publisher-place" : "New York, NY", "title" : "Applying the Rasch Model. Fundamental Measurement in the Human Sciences", "type" : "book" }, "uris" : [ "http://www.mendeley.com/documents/?uuid=57995585-e7a8-4247-96b8-089e515a24f5" ] } ], "mendeley" : { "previouslyFormattedCitation" : "&lt;sup&gt;11&lt;/sup&gt;" }, "properties" : { "noteIndex" : 0 }, "schema" : "https://github.com/citation-style-language/schema/raw/master/csl-citation.json" }</w:instrText>
      </w:r>
      <w:r w:rsidR="006F6711" w:rsidRPr="00467C54">
        <w:rPr>
          <w:rFonts w:asciiTheme="majorHAnsi" w:eastAsia="Times New Roman" w:hAnsiTheme="majorHAnsi" w:cs="Calibri"/>
          <w:color w:val="000000"/>
          <w:lang w:eastAsia="en-GB"/>
        </w:rPr>
        <w:fldChar w:fldCharType="separate"/>
      </w:r>
      <w:r w:rsidR="00EB25FC" w:rsidRPr="00467C54">
        <w:rPr>
          <w:rFonts w:asciiTheme="majorHAnsi" w:eastAsia="Times New Roman" w:hAnsiTheme="majorHAnsi" w:cs="Calibri"/>
          <w:noProof/>
          <w:color w:val="000000"/>
          <w:vertAlign w:val="superscript"/>
          <w:lang w:eastAsia="en-GB"/>
        </w:rPr>
        <w:t>11</w:t>
      </w:r>
      <w:r w:rsidR="006F6711" w:rsidRPr="00467C54">
        <w:rPr>
          <w:rFonts w:asciiTheme="majorHAnsi" w:eastAsia="Times New Roman" w:hAnsiTheme="majorHAnsi" w:cs="Calibri"/>
          <w:color w:val="000000"/>
          <w:lang w:eastAsia="en-GB"/>
        </w:rPr>
        <w:fldChar w:fldCharType="end"/>
      </w:r>
      <w:r w:rsidR="001A15A0" w:rsidRPr="00467C54">
        <w:rPr>
          <w:rFonts w:asciiTheme="majorHAnsi" w:eastAsia="Times New Roman" w:hAnsiTheme="majorHAnsi" w:cs="Calibri"/>
          <w:color w:val="000000"/>
          <w:lang w:eastAsia="en-GB"/>
        </w:rPr>
        <w:t xml:space="preserve"> and the latent trait we are referring to here is staff engagement. The Rasch model tests all the items and </w:t>
      </w:r>
      <w:r w:rsidR="00D973B9" w:rsidRPr="00467C54">
        <w:rPr>
          <w:rFonts w:asciiTheme="majorHAnsi" w:eastAsia="Times New Roman" w:hAnsiTheme="majorHAnsi" w:cs="Calibri"/>
          <w:color w:val="000000"/>
          <w:lang w:eastAsia="en-GB"/>
        </w:rPr>
        <w:t xml:space="preserve">all the </w:t>
      </w:r>
      <w:r w:rsidR="001A15A0" w:rsidRPr="00467C54">
        <w:rPr>
          <w:rFonts w:asciiTheme="majorHAnsi" w:eastAsia="Times New Roman" w:hAnsiTheme="majorHAnsi" w:cs="Calibri"/>
          <w:color w:val="000000"/>
          <w:lang w:eastAsia="en-GB"/>
        </w:rPr>
        <w:t xml:space="preserve">people taking the test against each other </w:t>
      </w:r>
      <w:r w:rsidR="00D973B9" w:rsidRPr="00467C54">
        <w:rPr>
          <w:rFonts w:asciiTheme="majorHAnsi" w:eastAsia="Times New Roman" w:hAnsiTheme="majorHAnsi" w:cs="Calibri"/>
          <w:color w:val="000000"/>
          <w:lang w:eastAsia="en-GB"/>
        </w:rPr>
        <w:t xml:space="preserve">at the same time. The purpose is to see which items </w:t>
      </w:r>
      <w:r w:rsidR="00BC2D65" w:rsidRPr="00467C54">
        <w:rPr>
          <w:rFonts w:asciiTheme="majorHAnsi" w:eastAsia="Times New Roman" w:hAnsiTheme="majorHAnsi" w:cs="Calibri"/>
          <w:color w:val="000000"/>
          <w:lang w:eastAsia="en-GB"/>
        </w:rPr>
        <w:t xml:space="preserve">(and people) </w:t>
      </w:r>
      <w:r w:rsidR="00D973B9" w:rsidRPr="00467C54">
        <w:rPr>
          <w:rFonts w:asciiTheme="majorHAnsi" w:eastAsia="Times New Roman" w:hAnsiTheme="majorHAnsi" w:cs="Calibri"/>
          <w:color w:val="000000"/>
          <w:lang w:eastAsia="en-GB"/>
        </w:rPr>
        <w:t xml:space="preserve">fit the model and which don’t.  The starting point is to calculate the proportion of items answered correctly by each person, and the proportion of people successfully answering a particular item. </w:t>
      </w:r>
      <w:r w:rsidR="004909C1" w:rsidRPr="00467C54">
        <w:rPr>
          <w:rFonts w:asciiTheme="majorHAnsi" w:eastAsia="Times New Roman" w:hAnsiTheme="majorHAnsi" w:cs="Calibri"/>
          <w:color w:val="000000"/>
          <w:lang w:eastAsia="en-GB"/>
        </w:rPr>
        <w:t xml:space="preserve">These raw score totals </w:t>
      </w:r>
      <w:r w:rsidR="00B90FD0" w:rsidRPr="00467C54">
        <w:rPr>
          <w:rFonts w:asciiTheme="majorHAnsi" w:eastAsia="Times New Roman" w:hAnsiTheme="majorHAnsi" w:cs="Calibri"/>
          <w:color w:val="000000"/>
          <w:lang w:eastAsia="en-GB"/>
        </w:rPr>
        <w:t xml:space="preserve">allow us to estimate person ability and item difficulty. Person ability and item difficulty are sufficient to allow a </w:t>
      </w:r>
      <w:r w:rsidR="004909C1" w:rsidRPr="00467C54">
        <w:rPr>
          <w:rFonts w:asciiTheme="majorHAnsi" w:eastAsia="Times New Roman" w:hAnsiTheme="majorHAnsi" w:cs="Calibri"/>
          <w:color w:val="000000"/>
          <w:lang w:eastAsia="en-GB"/>
        </w:rPr>
        <w:t xml:space="preserve">calculation of the odds of success for a particular person on a particular item. Because we are using odds we can convert these odds into a log scale, and converting odds into a log scale allows for standardisation of expression for item difficulty and person ability, hence we can represent them on the same scale. </w:t>
      </w:r>
    </w:p>
    <w:p w:rsidR="006A09B0" w:rsidRPr="00467C54" w:rsidRDefault="006A09B0" w:rsidP="005A0156">
      <w:pPr>
        <w:pStyle w:val="Heading3"/>
        <w:rPr>
          <w:rFonts w:eastAsia="Times New Roman"/>
          <w:lang w:eastAsia="en-GB"/>
        </w:rPr>
      </w:pPr>
      <w:bookmarkStart w:id="91" w:name="_Toc351201896"/>
      <w:r w:rsidRPr="00467C54">
        <w:rPr>
          <w:rFonts w:eastAsia="Times New Roman"/>
          <w:lang w:eastAsia="en-GB"/>
        </w:rPr>
        <w:t>Factor analysis and Rasch analysis: complementary or contradictory?</w:t>
      </w:r>
      <w:bookmarkEnd w:id="91"/>
    </w:p>
    <w:p w:rsidR="006A09B0" w:rsidRPr="00467C54" w:rsidRDefault="006A09B0" w:rsidP="005A0156">
      <w:pPr>
        <w:rPr>
          <w:rFonts w:asciiTheme="majorHAnsi" w:eastAsia="Times New Roman" w:hAnsiTheme="majorHAnsi" w:cs="Calibri"/>
          <w:lang w:eastAsia="en-GB"/>
        </w:rPr>
      </w:pPr>
    </w:p>
    <w:p w:rsidR="006A09B0" w:rsidRPr="00467C54" w:rsidRDefault="000E75BD" w:rsidP="005A0156">
      <w:pPr>
        <w:widowControl w:val="0"/>
        <w:autoSpaceDE w:val="0"/>
        <w:autoSpaceDN w:val="0"/>
        <w:adjustRightInd w:val="0"/>
        <w:spacing w:after="240"/>
        <w:rPr>
          <w:rFonts w:asciiTheme="majorHAnsi" w:hAnsiTheme="majorHAnsi" w:cstheme="minorHAnsi"/>
          <w:lang w:val="en-US"/>
        </w:rPr>
      </w:pPr>
      <w:r w:rsidRPr="00467C54">
        <w:rPr>
          <w:rFonts w:asciiTheme="majorHAnsi" w:hAnsiTheme="majorHAnsi" w:cstheme="minorHAnsi"/>
          <w:lang w:val="en-US"/>
        </w:rPr>
        <w:t>By using different statistical methods we are essentially viewing the data from different standpoints. This is fundamentally useful as it gives us a better picture than relying on one technique</w:t>
      </w:r>
      <w:r w:rsidR="006F6711" w:rsidRPr="00467C54">
        <w:rPr>
          <w:rFonts w:asciiTheme="majorHAnsi" w:hAnsiTheme="majorHAnsi" w:cstheme="minorHAnsi"/>
          <w:lang w:val="en-US"/>
        </w:rPr>
        <w:fldChar w:fldCharType="begin" w:fldLock="1"/>
      </w:r>
      <w:r w:rsidR="00EB25FC" w:rsidRPr="00467C54">
        <w:rPr>
          <w:rFonts w:asciiTheme="majorHAnsi" w:hAnsiTheme="majorHAnsi" w:cstheme="minorHAnsi"/>
          <w:lang w:val="en-US"/>
        </w:rPr>
        <w:instrText>ADDIN CSL_CITATION { "citationItems" : [ { "id" : "ITEM-1", "itemData" : { "DOI" : "10.1177/004839310103100103", "author" : [ { "family" : "Risjord", "given" : "M" }, { "family" : "Moloney", "given" : "M" }, { "family" : "Dunbar", "given" : "S" } ], "container-title" : "Philosophy of the Social Sciences", "id" : "ITEM-1", "issue" : "1", "issued" : { "date-parts" : [ [ "2001" ] ] }, "note" : "&lt;m:note/&gt;", "page" : "40-59", "title" : "Methodological Triangulation in Nursing Research", "type" : "article-journal", "volume" : "31" }, "uris" : [ "http://www.mendeley.com/documents/?uuid=a2d2c45c-5dc5-4825-976f-bfe28c939677" ] } ], "mendeley" : { "previouslyFormattedCitation" : "&lt;sup&gt;19&lt;/sup&gt;" }, "properties" : { "noteIndex" : 0 }, "schema" : "https://github.com/citation-style-language/schema/raw/master/csl-citation.json" }</w:instrText>
      </w:r>
      <w:r w:rsidR="006F6711" w:rsidRPr="00467C54">
        <w:rPr>
          <w:rFonts w:asciiTheme="majorHAnsi" w:hAnsiTheme="majorHAnsi" w:cstheme="minorHAnsi"/>
          <w:lang w:val="en-US"/>
        </w:rPr>
        <w:fldChar w:fldCharType="separate"/>
      </w:r>
      <w:r w:rsidR="00EB25FC" w:rsidRPr="00467C54">
        <w:rPr>
          <w:rFonts w:asciiTheme="majorHAnsi" w:hAnsiTheme="majorHAnsi" w:cstheme="minorHAnsi"/>
          <w:noProof/>
          <w:vertAlign w:val="superscript"/>
          <w:lang w:val="en-US"/>
        </w:rPr>
        <w:t>19</w:t>
      </w:r>
      <w:r w:rsidR="006F6711" w:rsidRPr="00467C54">
        <w:rPr>
          <w:rFonts w:asciiTheme="majorHAnsi" w:hAnsiTheme="majorHAnsi" w:cstheme="minorHAnsi"/>
          <w:lang w:val="en-US"/>
        </w:rPr>
        <w:fldChar w:fldCharType="end"/>
      </w:r>
      <w:r w:rsidRPr="00467C54">
        <w:rPr>
          <w:rFonts w:asciiTheme="majorHAnsi" w:hAnsiTheme="majorHAnsi" w:cstheme="minorHAnsi"/>
          <w:lang w:val="en-US"/>
        </w:rPr>
        <w:t>. However, f</w:t>
      </w:r>
      <w:r w:rsidR="006A09B0" w:rsidRPr="00467C54">
        <w:rPr>
          <w:rFonts w:asciiTheme="majorHAnsi" w:hAnsiTheme="majorHAnsi" w:cstheme="minorHAnsi"/>
          <w:lang w:val="en-US"/>
        </w:rPr>
        <w:t>rom a statistical perspective caution must be maintained when generating assumptions grounded in different measurements. On the positive side there is increasing credibility in combining Rasch analysis with confirmatory factor analysis to study dimensionality, as we have done here</w:t>
      </w:r>
      <w:r w:rsidR="006F6711" w:rsidRPr="00467C54">
        <w:rPr>
          <w:rFonts w:asciiTheme="majorHAnsi" w:eastAsia="Times New Roman" w:hAnsiTheme="majorHAnsi" w:cstheme="minorHAnsi"/>
          <w:color w:val="000000"/>
          <w:lang w:eastAsia="en-GB"/>
        </w:rPr>
        <w:fldChar w:fldCharType="begin" w:fldLock="1"/>
      </w:r>
      <w:r w:rsidR="00EB25FC" w:rsidRPr="00467C54">
        <w:rPr>
          <w:rFonts w:asciiTheme="majorHAnsi" w:eastAsia="Times New Roman" w:hAnsiTheme="majorHAnsi" w:cstheme="minorHAnsi"/>
          <w:color w:val="000000"/>
          <w:lang w:eastAsia="en-GB"/>
        </w:rPr>
        <w:instrText>ADDIN CSL_CITATION { "citationItems" : [ { "id" : "ITEM-1", "itemData" : { "author" : [ { "family" : "Engelhard", "given" : "George" } ], "id" : "ITEM-1", "issue" : "3", "issued" : { "date-parts" : [ [ "2012" ] ] }, "note" : "&lt;m:note/&gt;", "title" : "Transactions of the Rasch Measurement SIG", "type" : "article-journal", "volume" : "26" }, "uris" : [ "http://www.mendeley.com/documents/?uuid=11eb4d7b-03f5-4c5c-955e-f47da28e3ddb" ] } ], "mendeley" : { "previouslyFormattedCitation" : "&lt;sup&gt;20&lt;/sup&gt;" }, "properties" : { "noteIndex" : 0 }, "schema" : "https://github.com/citation-style-language/schema/raw/master/csl-citation.json" }</w:instrText>
      </w:r>
      <w:r w:rsidR="006F6711" w:rsidRPr="00467C54">
        <w:rPr>
          <w:rFonts w:asciiTheme="majorHAnsi" w:eastAsia="Times New Roman" w:hAnsiTheme="majorHAnsi" w:cstheme="minorHAnsi"/>
          <w:color w:val="000000"/>
          <w:lang w:eastAsia="en-GB"/>
        </w:rPr>
        <w:fldChar w:fldCharType="separate"/>
      </w:r>
      <w:r w:rsidR="00EB25FC" w:rsidRPr="00467C54">
        <w:rPr>
          <w:rFonts w:asciiTheme="majorHAnsi" w:eastAsia="Times New Roman" w:hAnsiTheme="majorHAnsi" w:cstheme="minorHAnsi"/>
          <w:noProof/>
          <w:color w:val="000000"/>
          <w:vertAlign w:val="superscript"/>
          <w:lang w:eastAsia="en-GB"/>
        </w:rPr>
        <w:t>20</w:t>
      </w:r>
      <w:r w:rsidR="006F6711" w:rsidRPr="00467C54">
        <w:rPr>
          <w:rFonts w:asciiTheme="majorHAnsi" w:eastAsia="Times New Roman" w:hAnsiTheme="majorHAnsi" w:cstheme="minorHAnsi"/>
          <w:color w:val="000000"/>
          <w:lang w:eastAsia="en-GB"/>
        </w:rPr>
        <w:fldChar w:fldCharType="end"/>
      </w:r>
      <w:r w:rsidR="006A09B0" w:rsidRPr="00467C54">
        <w:rPr>
          <w:rFonts w:asciiTheme="majorHAnsi" w:eastAsia="Times New Roman" w:hAnsiTheme="majorHAnsi" w:cstheme="minorHAnsi"/>
          <w:color w:val="000000"/>
          <w:lang w:eastAsia="en-GB"/>
        </w:rPr>
        <w:t>. In essence no single model can detect all possible sources of misfit and so it makes sense to view any dataset from multiple angles</w:t>
      </w:r>
      <w:r w:rsidR="006F6711" w:rsidRPr="00467C54">
        <w:rPr>
          <w:rFonts w:asciiTheme="majorHAnsi" w:eastAsia="Times New Roman" w:hAnsiTheme="majorHAnsi" w:cstheme="minorHAnsi"/>
          <w:color w:val="000000"/>
          <w:lang w:eastAsia="en-GB"/>
        </w:rPr>
        <w:fldChar w:fldCharType="begin" w:fldLock="1"/>
      </w:r>
      <w:r w:rsidR="00EB25FC" w:rsidRPr="00467C54">
        <w:rPr>
          <w:rFonts w:asciiTheme="majorHAnsi" w:eastAsia="Times New Roman" w:hAnsiTheme="majorHAnsi" w:cstheme="minorHAnsi"/>
          <w:color w:val="000000"/>
          <w:lang w:eastAsia="en-GB"/>
        </w:rPr>
        <w:instrText>ADDIN CSL_CITATION { "citationItems" : [ { "id" : "ITEM-1", "itemData" : { "author" : [ { "family" : "Randall", "given" : "J." }, { "family" : "Engelhard", "given" : "G." } ], "container-title" : "Applied Measurement in Education,", "id" : "ITEM-1", "issued" : { "date-parts" : [ [ "2010" ] ] }, "note" : "&lt;m:note/&gt;", "page" : "286-306.", "title" : "Using Confirmatory Factor Analysis and Rasch Measurement Theory to Assess Measurement Invariance in a High Stakes Reading Assessment.", "type" : "article-journal", "volume" : "23" }, "uris" : [ "http://www.mendeley.com/documents/?uuid=8e68bf89-2afb-409d-8d0f-8e15bb76478d" ] } ], "mendeley" : { "previouslyFormattedCitation" : "&lt;sup&gt;21&lt;/sup&gt;" }, "properties" : { "noteIndex" : 0 }, "schema" : "https://github.com/citation-style-language/schema/raw/master/csl-citation.json" }</w:instrText>
      </w:r>
      <w:r w:rsidR="006F6711" w:rsidRPr="00467C54">
        <w:rPr>
          <w:rFonts w:asciiTheme="majorHAnsi" w:eastAsia="Times New Roman" w:hAnsiTheme="majorHAnsi" w:cstheme="minorHAnsi"/>
          <w:color w:val="000000"/>
          <w:lang w:eastAsia="en-GB"/>
        </w:rPr>
        <w:fldChar w:fldCharType="separate"/>
      </w:r>
      <w:r w:rsidR="00EB25FC" w:rsidRPr="00467C54">
        <w:rPr>
          <w:rFonts w:asciiTheme="majorHAnsi" w:eastAsia="Times New Roman" w:hAnsiTheme="majorHAnsi" w:cstheme="minorHAnsi"/>
          <w:noProof/>
          <w:color w:val="000000"/>
          <w:vertAlign w:val="superscript"/>
          <w:lang w:eastAsia="en-GB"/>
        </w:rPr>
        <w:t>21</w:t>
      </w:r>
      <w:r w:rsidR="006F6711" w:rsidRPr="00467C54">
        <w:rPr>
          <w:rFonts w:asciiTheme="majorHAnsi" w:eastAsia="Times New Roman" w:hAnsiTheme="majorHAnsi" w:cstheme="minorHAnsi"/>
          <w:color w:val="000000"/>
          <w:lang w:eastAsia="en-GB"/>
        </w:rPr>
        <w:fldChar w:fldCharType="end"/>
      </w:r>
      <w:r w:rsidR="006A09B0" w:rsidRPr="00467C54">
        <w:rPr>
          <w:rFonts w:asciiTheme="majorHAnsi" w:eastAsia="Times New Roman" w:hAnsiTheme="majorHAnsi" w:cstheme="minorHAnsi"/>
          <w:color w:val="000000"/>
          <w:lang w:eastAsia="en-GB"/>
        </w:rPr>
        <w:t xml:space="preserve">. </w:t>
      </w:r>
      <w:r w:rsidR="006A09B0" w:rsidRPr="00467C54">
        <w:rPr>
          <w:rFonts w:asciiTheme="majorHAnsi" w:hAnsiTheme="majorHAnsi" w:cstheme="minorHAnsi"/>
          <w:lang w:val="en-US"/>
        </w:rPr>
        <w:t>Factor analysis and Rasch analysis both provide evidence to support inferences regarding invariance within a particular context</w:t>
      </w:r>
      <w:r w:rsidR="00E2005C" w:rsidRPr="00467C54">
        <w:rPr>
          <w:rFonts w:asciiTheme="majorHAnsi" w:hAnsiTheme="majorHAnsi" w:cstheme="minorHAnsi"/>
          <w:lang w:val="en-US"/>
        </w:rPr>
        <w:t>, and in this study they offer complementary explanations for the findings.</w:t>
      </w:r>
      <w:r w:rsidR="006A09B0" w:rsidRPr="00467C54">
        <w:rPr>
          <w:rFonts w:asciiTheme="majorHAnsi" w:hAnsiTheme="majorHAnsi" w:cstheme="minorHAnsi"/>
          <w:lang w:val="en-US"/>
        </w:rPr>
        <w:t xml:space="preserve"> </w:t>
      </w:r>
    </w:p>
    <w:p w:rsidR="00E2005C" w:rsidRPr="00467C54" w:rsidRDefault="006A09B0" w:rsidP="005A0156">
      <w:pPr>
        <w:widowControl w:val="0"/>
        <w:autoSpaceDE w:val="0"/>
        <w:autoSpaceDN w:val="0"/>
        <w:adjustRightInd w:val="0"/>
        <w:spacing w:after="240"/>
        <w:rPr>
          <w:rFonts w:asciiTheme="majorHAnsi" w:hAnsiTheme="majorHAnsi" w:cstheme="minorHAnsi"/>
          <w:lang w:val="en-US"/>
        </w:rPr>
      </w:pPr>
      <w:r w:rsidRPr="00467C54">
        <w:rPr>
          <w:rFonts w:asciiTheme="majorHAnsi" w:hAnsiTheme="majorHAnsi" w:cstheme="minorHAnsi"/>
          <w:lang w:val="en-US"/>
        </w:rPr>
        <w:t>On the negative side we must remain aware that these inferences are logically discrete. That is, Rasch and factor analysis are embedded in different philosophical deconstructions of what constitutes measurement. Because of these different assumptions they are strictly speaking, incompatible, mutually exclusive models.</w:t>
      </w:r>
      <w:r w:rsidR="006F6711" w:rsidRPr="00467C54">
        <w:rPr>
          <w:rFonts w:asciiTheme="majorHAnsi" w:hAnsiTheme="majorHAnsi" w:cstheme="minorHAnsi"/>
          <w:lang w:val="en-US"/>
        </w:rPr>
        <w:fldChar w:fldCharType="begin" w:fldLock="1"/>
      </w:r>
      <w:r w:rsidR="00EB25FC" w:rsidRPr="00467C54">
        <w:rPr>
          <w:rFonts w:asciiTheme="majorHAnsi" w:hAnsiTheme="majorHAnsi" w:cstheme="minorHAnsi"/>
          <w:lang w:val="en-US"/>
        </w:rPr>
        <w:instrText>ADDIN CSL_CITATION { "citationItems" : [ { "id" : "ITEM-1", "itemData" : { "author" : [ { "family" : "Saltzberger", "given" : "T." } ], "container-title" : "Rasch Measurement Transactions", "id" : "ITEM-1", "issue" : "3", "issued" : { "date-parts" : [ [ "2012" ] ] }, "note" : "&lt;m:note/&gt;", "page" : "1376-8", "title" : "The Rasch model and factor analysis: Complementary or mutually exclusive?", "type" : "article-journal", "volume" : "26" }, "uris" : [ "http://www.mendeley.com/documents/?uuid=ed8e0486-ead8-4770-8e54-77b93bdf9aee" ] } ], "mendeley" : { "previouslyFormattedCitation" : "&lt;sup&gt;22&lt;/sup&gt;" }, "properties" : { "noteIndex" : 0 }, "schema" : "https://github.com/citation-style-language/schema/raw/master/csl-citation.json" }</w:instrText>
      </w:r>
      <w:r w:rsidR="006F6711" w:rsidRPr="00467C54">
        <w:rPr>
          <w:rFonts w:asciiTheme="majorHAnsi" w:hAnsiTheme="majorHAnsi" w:cstheme="minorHAnsi"/>
          <w:lang w:val="en-US"/>
        </w:rPr>
        <w:fldChar w:fldCharType="separate"/>
      </w:r>
      <w:r w:rsidR="00EB25FC" w:rsidRPr="00467C54">
        <w:rPr>
          <w:rFonts w:asciiTheme="majorHAnsi" w:hAnsiTheme="majorHAnsi" w:cstheme="minorHAnsi"/>
          <w:noProof/>
          <w:vertAlign w:val="superscript"/>
          <w:lang w:val="en-US"/>
        </w:rPr>
        <w:t>22</w:t>
      </w:r>
      <w:r w:rsidR="006F6711" w:rsidRPr="00467C54">
        <w:rPr>
          <w:rFonts w:asciiTheme="majorHAnsi" w:hAnsiTheme="majorHAnsi" w:cstheme="minorHAnsi"/>
          <w:lang w:val="en-US"/>
        </w:rPr>
        <w:fldChar w:fldCharType="end"/>
      </w:r>
      <w:r w:rsidRPr="00467C54">
        <w:rPr>
          <w:rFonts w:asciiTheme="majorHAnsi" w:hAnsiTheme="majorHAnsi" w:cstheme="minorHAnsi"/>
          <w:lang w:val="en-US"/>
        </w:rPr>
        <w:t xml:space="preserve"> </w:t>
      </w:r>
      <w:r w:rsidR="00E2005C" w:rsidRPr="00467C54">
        <w:rPr>
          <w:rFonts w:asciiTheme="majorHAnsi" w:hAnsiTheme="majorHAnsi" w:cstheme="minorHAnsi"/>
          <w:lang w:val="en-US"/>
        </w:rPr>
        <w:t>However, even at this level of philosophical deconstruction common sense prevails. For example</w:t>
      </w:r>
      <w:r w:rsidRPr="00467C54">
        <w:rPr>
          <w:rFonts w:asciiTheme="majorHAnsi" w:hAnsiTheme="majorHAnsi" w:cstheme="minorHAnsi"/>
          <w:lang w:val="en-US"/>
        </w:rPr>
        <w:t xml:space="preserve"> Saltzberger </w:t>
      </w:r>
      <w:r w:rsidR="00E2005C" w:rsidRPr="00467C54">
        <w:rPr>
          <w:rFonts w:asciiTheme="majorHAnsi" w:hAnsiTheme="majorHAnsi" w:cstheme="minorHAnsi"/>
          <w:lang w:val="en-US"/>
        </w:rPr>
        <w:t>states that</w:t>
      </w:r>
    </w:p>
    <w:p w:rsidR="00E2005C" w:rsidRPr="00467C54" w:rsidRDefault="006A09B0" w:rsidP="00E2005C">
      <w:pPr>
        <w:widowControl w:val="0"/>
        <w:autoSpaceDE w:val="0"/>
        <w:autoSpaceDN w:val="0"/>
        <w:adjustRightInd w:val="0"/>
        <w:spacing w:after="240"/>
        <w:ind w:left="720"/>
        <w:rPr>
          <w:rFonts w:asciiTheme="majorHAnsi" w:hAnsiTheme="majorHAnsi" w:cstheme="minorHAnsi"/>
          <w:lang w:val="en-US"/>
        </w:rPr>
      </w:pPr>
      <w:r w:rsidRPr="00467C54">
        <w:rPr>
          <w:rFonts w:asciiTheme="majorHAnsi" w:hAnsiTheme="majorHAnsi" w:cstheme="minorHAnsi"/>
          <w:lang w:val="en-US"/>
        </w:rPr>
        <w:t xml:space="preserve"> ‘</w:t>
      </w:r>
      <w:r w:rsidRPr="00467C54">
        <w:rPr>
          <w:rFonts w:asciiTheme="majorHAnsi" w:hAnsiTheme="majorHAnsi" w:cstheme="minorHAnsi"/>
          <w:i/>
          <w:lang w:val="en-US"/>
        </w:rPr>
        <w:t>proper scale development and analysis should never be confined to a statistical procedure (even if that procedure utilizes the Rasch Measurement), but should be guided by a theory of the construct to be measured’</w:t>
      </w:r>
      <w:r w:rsidR="00E2005C" w:rsidRPr="00467C54">
        <w:rPr>
          <w:rFonts w:asciiTheme="majorHAnsi" w:hAnsiTheme="majorHAnsi" w:cstheme="minorHAnsi"/>
          <w:lang w:val="en-US"/>
        </w:rPr>
        <w:t xml:space="preserve"> </w:t>
      </w:r>
      <w:r w:rsidR="006F6711" w:rsidRPr="00467C54">
        <w:rPr>
          <w:rFonts w:asciiTheme="majorHAnsi" w:hAnsiTheme="majorHAnsi" w:cstheme="minorHAnsi"/>
          <w:lang w:val="en-US"/>
        </w:rPr>
        <w:fldChar w:fldCharType="begin" w:fldLock="1"/>
      </w:r>
      <w:r w:rsidR="00EB25FC" w:rsidRPr="00467C54">
        <w:rPr>
          <w:rFonts w:asciiTheme="majorHAnsi" w:hAnsiTheme="majorHAnsi" w:cstheme="minorHAnsi"/>
          <w:lang w:val="en-US"/>
        </w:rPr>
        <w:instrText>ADDIN CSL_CITATION { "citationItems" : [ { "id" : "ITEM-1", "itemData" : { "author" : [ { "family" : "Saltzberger", "given" : "T." } ], "container-title" : "Rasch Measurement Transactions", "id" : "ITEM-1", "issue" : "3", "issued" : { "date-parts" : [ [ "2012" ] ] }, "note" : "&lt;m:note/&gt;", "page" : "1376-8", "title" : "The Rasch model and factor analysis: Complementary or mutually exclusive?", "type" : "article-journal", "volume" : "26" }, "uris" : [ "http://www.mendeley.com/documents/?uuid=ed8e0486-ead8-4770-8e54-77b93bdf9aee" ] } ], "mendeley" : { "previouslyFormattedCitation" : "&lt;sup&gt;22&lt;/sup&gt;" }, "properties" : { "noteIndex" : 0 }, "schema" : "https://github.com/citation-style-language/schema/raw/master/csl-citation.json" }</w:instrText>
      </w:r>
      <w:r w:rsidR="006F6711" w:rsidRPr="00467C54">
        <w:rPr>
          <w:rFonts w:asciiTheme="majorHAnsi" w:hAnsiTheme="majorHAnsi" w:cstheme="minorHAnsi"/>
          <w:lang w:val="en-US"/>
        </w:rPr>
        <w:fldChar w:fldCharType="separate"/>
      </w:r>
      <w:r w:rsidR="00EB25FC" w:rsidRPr="00467C54">
        <w:rPr>
          <w:rFonts w:asciiTheme="majorHAnsi" w:hAnsiTheme="majorHAnsi" w:cstheme="minorHAnsi"/>
          <w:noProof/>
          <w:vertAlign w:val="superscript"/>
          <w:lang w:val="en-US"/>
        </w:rPr>
        <w:t>22</w:t>
      </w:r>
      <w:r w:rsidR="006F6711" w:rsidRPr="00467C54">
        <w:rPr>
          <w:rFonts w:asciiTheme="majorHAnsi" w:hAnsiTheme="majorHAnsi" w:cstheme="minorHAnsi"/>
          <w:lang w:val="en-US"/>
        </w:rPr>
        <w:fldChar w:fldCharType="end"/>
      </w:r>
      <w:r w:rsidR="00E2005C" w:rsidRPr="00467C54">
        <w:rPr>
          <w:rFonts w:asciiTheme="majorHAnsi" w:hAnsiTheme="majorHAnsi" w:cstheme="minorHAnsi"/>
          <w:lang w:val="en-US"/>
        </w:rPr>
        <w:t xml:space="preserve"> (</w:t>
      </w:r>
      <w:r w:rsidRPr="00467C54">
        <w:rPr>
          <w:rFonts w:asciiTheme="majorHAnsi" w:hAnsiTheme="majorHAnsi" w:cstheme="minorHAnsi"/>
          <w:lang w:val="en-US"/>
        </w:rPr>
        <w:t>p1376</w:t>
      </w:r>
      <w:r w:rsidR="00E2005C" w:rsidRPr="00467C54">
        <w:rPr>
          <w:rFonts w:asciiTheme="majorHAnsi" w:hAnsiTheme="majorHAnsi" w:cstheme="minorHAnsi"/>
          <w:lang w:val="en-US"/>
        </w:rPr>
        <w:t>)</w:t>
      </w:r>
      <w:r w:rsidRPr="00467C54">
        <w:rPr>
          <w:rFonts w:asciiTheme="majorHAnsi" w:hAnsiTheme="majorHAnsi" w:cstheme="minorHAnsi"/>
          <w:lang w:val="en-US"/>
        </w:rPr>
        <w:t xml:space="preserve">. </w:t>
      </w:r>
    </w:p>
    <w:p w:rsidR="006A09B0" w:rsidRPr="00467C54" w:rsidRDefault="006A09B0" w:rsidP="005A0156">
      <w:pPr>
        <w:widowControl w:val="0"/>
        <w:autoSpaceDE w:val="0"/>
        <w:autoSpaceDN w:val="0"/>
        <w:adjustRightInd w:val="0"/>
        <w:spacing w:after="240"/>
        <w:rPr>
          <w:rFonts w:asciiTheme="majorHAnsi" w:hAnsiTheme="majorHAnsi" w:cstheme="minorHAnsi"/>
          <w:lang w:val="en-US"/>
        </w:rPr>
      </w:pPr>
      <w:r w:rsidRPr="00467C54">
        <w:rPr>
          <w:rFonts w:asciiTheme="majorHAnsi" w:hAnsiTheme="majorHAnsi" w:cstheme="minorHAnsi"/>
          <w:lang w:val="en-US"/>
        </w:rPr>
        <w:t>This brings us back to our discussion on context and theory. Rasch analysis and factor analysis help us understand the data by viewing it in different ways</w:t>
      </w:r>
      <w:r w:rsidR="00F22C95" w:rsidRPr="00467C54">
        <w:rPr>
          <w:rFonts w:asciiTheme="majorHAnsi" w:hAnsiTheme="majorHAnsi" w:cstheme="minorHAnsi"/>
          <w:lang w:val="en-US"/>
        </w:rPr>
        <w:t xml:space="preserve"> and both are very useful</w:t>
      </w:r>
      <w:r w:rsidRPr="00467C54">
        <w:rPr>
          <w:rFonts w:asciiTheme="majorHAnsi" w:hAnsiTheme="majorHAnsi" w:cstheme="minorHAnsi"/>
          <w:lang w:val="en-US"/>
        </w:rPr>
        <w:t xml:space="preserve">. </w:t>
      </w:r>
      <w:r w:rsidR="00F22C95" w:rsidRPr="00467C54">
        <w:rPr>
          <w:rFonts w:asciiTheme="majorHAnsi" w:hAnsiTheme="majorHAnsi" w:cstheme="minorHAnsi"/>
          <w:lang w:val="en-US"/>
        </w:rPr>
        <w:t xml:space="preserve">A judgement does not need to be made on logical </w:t>
      </w:r>
      <w:r w:rsidR="00EC05B6" w:rsidRPr="00467C54">
        <w:rPr>
          <w:rFonts w:asciiTheme="majorHAnsi" w:hAnsiTheme="majorHAnsi" w:cstheme="minorHAnsi"/>
          <w:lang w:val="en-US"/>
        </w:rPr>
        <w:t>compatibility</w:t>
      </w:r>
      <w:r w:rsidR="00F22C95" w:rsidRPr="00467C54">
        <w:rPr>
          <w:rFonts w:asciiTheme="majorHAnsi" w:hAnsiTheme="majorHAnsi" w:cstheme="minorHAnsi"/>
          <w:lang w:val="en-US"/>
        </w:rPr>
        <w:t xml:space="preserve">. </w:t>
      </w:r>
      <w:r w:rsidRPr="00467C54">
        <w:rPr>
          <w:rFonts w:asciiTheme="majorHAnsi" w:hAnsiTheme="majorHAnsi" w:cstheme="minorHAnsi"/>
          <w:lang w:val="en-US"/>
        </w:rPr>
        <w:t>It is not the techniques of data analysis that drive the credibility of the findings but the quality of the data</w:t>
      </w:r>
      <w:r w:rsidR="00F22C95" w:rsidRPr="00467C54">
        <w:rPr>
          <w:rFonts w:asciiTheme="majorHAnsi" w:hAnsiTheme="majorHAnsi" w:cstheme="minorHAnsi"/>
          <w:lang w:val="en-US"/>
        </w:rPr>
        <w:t xml:space="preserve"> and its underpinning theory</w:t>
      </w:r>
      <w:r w:rsidRPr="00467C54">
        <w:rPr>
          <w:rFonts w:asciiTheme="majorHAnsi" w:hAnsiTheme="majorHAnsi" w:cstheme="minorHAnsi"/>
          <w:lang w:val="en-US"/>
        </w:rPr>
        <w:t xml:space="preserve">. Because the data is of such high quality we can </w:t>
      </w:r>
      <w:r w:rsidR="00CA3530" w:rsidRPr="00467C54">
        <w:rPr>
          <w:rFonts w:asciiTheme="majorHAnsi" w:hAnsiTheme="majorHAnsi" w:cstheme="minorHAnsi"/>
          <w:lang w:val="en-US"/>
        </w:rPr>
        <w:t xml:space="preserve">be reasonably certain that where Rasch and factor analysis illuminate similar patterns then these patterns are </w:t>
      </w:r>
      <w:r w:rsidR="00F22C95" w:rsidRPr="00467C54">
        <w:rPr>
          <w:rFonts w:asciiTheme="majorHAnsi" w:hAnsiTheme="majorHAnsi" w:cstheme="minorHAnsi"/>
          <w:lang w:val="en-US"/>
        </w:rPr>
        <w:t>generalisable</w:t>
      </w:r>
      <w:r w:rsidR="00CA3530" w:rsidRPr="00467C54">
        <w:rPr>
          <w:rFonts w:asciiTheme="majorHAnsi" w:hAnsiTheme="majorHAnsi" w:cstheme="minorHAnsi"/>
          <w:lang w:val="en-US"/>
        </w:rPr>
        <w:t xml:space="preserve">. </w:t>
      </w:r>
    </w:p>
    <w:p w:rsidR="00A80013" w:rsidRPr="00467C54" w:rsidRDefault="006A09B0" w:rsidP="005A0156">
      <w:pPr>
        <w:pStyle w:val="Heading3"/>
        <w:rPr>
          <w:rFonts w:eastAsia="Times New Roman"/>
          <w:lang w:eastAsia="en-GB"/>
        </w:rPr>
      </w:pPr>
      <w:bookmarkStart w:id="92" w:name="_Toc351201897"/>
      <w:r w:rsidRPr="00467C54">
        <w:rPr>
          <w:rFonts w:eastAsia="Times New Roman"/>
          <w:lang w:eastAsia="en-GB"/>
        </w:rPr>
        <w:t>Where are the weak points?</w:t>
      </w:r>
      <w:bookmarkEnd w:id="92"/>
      <w:r w:rsidR="00E8765F" w:rsidRPr="00467C54">
        <w:rPr>
          <w:rFonts w:eastAsia="Times New Roman"/>
          <w:lang w:eastAsia="en-GB"/>
        </w:rPr>
        <w:t xml:space="preserve"> </w:t>
      </w:r>
    </w:p>
    <w:p w:rsidR="00542837" w:rsidRPr="00467C54" w:rsidRDefault="00542837" w:rsidP="005A0156">
      <w:pPr>
        <w:rPr>
          <w:rFonts w:asciiTheme="majorHAnsi" w:hAnsiTheme="majorHAnsi"/>
          <w:lang w:eastAsia="en-GB"/>
        </w:rPr>
      </w:pPr>
    </w:p>
    <w:p w:rsidR="00F22C95" w:rsidRPr="00467C54" w:rsidRDefault="00542837" w:rsidP="005A0156">
      <w:pPr>
        <w:rPr>
          <w:rFonts w:asciiTheme="majorHAnsi" w:eastAsia="Times New Roman" w:hAnsiTheme="majorHAnsi" w:cs="Calibri"/>
          <w:lang w:eastAsia="en-GB"/>
        </w:rPr>
      </w:pPr>
      <w:r w:rsidRPr="00467C54">
        <w:rPr>
          <w:rFonts w:asciiTheme="majorHAnsi" w:eastAsia="Times New Roman" w:hAnsiTheme="majorHAnsi" w:cs="Calibri"/>
          <w:lang w:eastAsia="en-GB"/>
        </w:rPr>
        <w:t>The main psychometric</w:t>
      </w:r>
      <w:r w:rsidR="00E77710" w:rsidRPr="00467C54">
        <w:rPr>
          <w:rFonts w:asciiTheme="majorHAnsi" w:eastAsia="Times New Roman" w:hAnsiTheme="majorHAnsi" w:cs="Calibri"/>
          <w:lang w:eastAsia="en-GB"/>
        </w:rPr>
        <w:t xml:space="preserve"> problem was created by attempting to eliminate nonsensical responses. Reversing some items to ascertain logical incompatibility</w:t>
      </w:r>
      <w:r w:rsidR="0008603A" w:rsidRPr="00467C54">
        <w:rPr>
          <w:rFonts w:asciiTheme="majorHAnsi" w:eastAsia="Times New Roman" w:hAnsiTheme="majorHAnsi" w:cs="Calibri"/>
          <w:lang w:eastAsia="en-GB"/>
        </w:rPr>
        <w:t xml:space="preserve"> is a standard method of data cleaning</w:t>
      </w:r>
      <w:r w:rsidR="00E77710" w:rsidRPr="00467C54">
        <w:rPr>
          <w:rFonts w:asciiTheme="majorHAnsi" w:eastAsia="Times New Roman" w:hAnsiTheme="majorHAnsi" w:cs="Calibri"/>
          <w:lang w:eastAsia="en-GB"/>
        </w:rPr>
        <w:t>. W</w:t>
      </w:r>
      <w:r w:rsidR="002D6F68" w:rsidRPr="00467C54">
        <w:rPr>
          <w:rFonts w:asciiTheme="majorHAnsi" w:eastAsia="Times New Roman" w:hAnsiTheme="majorHAnsi" w:cs="Calibri"/>
          <w:lang w:eastAsia="en-GB"/>
        </w:rPr>
        <w:t>e were</w:t>
      </w:r>
      <w:r w:rsidR="00EE3511" w:rsidRPr="00467C54">
        <w:rPr>
          <w:rFonts w:asciiTheme="majorHAnsi" w:eastAsia="Times New Roman" w:hAnsiTheme="majorHAnsi" w:cs="Calibri"/>
          <w:lang w:eastAsia="en-GB"/>
        </w:rPr>
        <w:t xml:space="preserve"> aware that reversing some items does not eliminate this problem altogether</w:t>
      </w:r>
      <w:r w:rsidR="006F6711" w:rsidRPr="00467C54">
        <w:rPr>
          <w:rStyle w:val="FootnoteReference"/>
          <w:rFonts w:asciiTheme="majorHAnsi" w:eastAsia="Times New Roman" w:hAnsiTheme="majorHAnsi" w:cs="Calibri"/>
          <w:lang w:eastAsia="en-GB"/>
        </w:rPr>
        <w:fldChar w:fldCharType="begin" w:fldLock="1"/>
      </w:r>
      <w:r w:rsidR="00EB25FC" w:rsidRPr="00467C54">
        <w:rPr>
          <w:rFonts w:asciiTheme="majorHAnsi" w:eastAsia="Times New Roman" w:hAnsiTheme="majorHAnsi" w:cs="Calibri"/>
          <w:lang w:eastAsia="en-GB"/>
        </w:rPr>
        <w:instrText>ADDIN CSL_CITATION { "citationItems" : [ { "id" : "ITEM-1", "itemData" : { "DOI" : "10.1509/jmkr.45.1.116", "abstract" : "Data collected through multi-item Likert scales that contain reversed items often exhibit problems, such as unexpected factor structures and diminished scale reliabilities. These problems arise when respondents select responses on the same side of the scale neutral point for both reversed and nonreversed items, a phenomenon the authors call misresponse. Across four experiments and an exploratory study using published data, the authors find that misresponse to reversed Likert items averaged approximately 20%, twice the level identified as problematic in previous simulation studies. Counter to prevailing thought, the patterns of misresponse and response latency across manipulated items could not be attributed to respondent inattention or acquiescence. Instead, the pattern supports an item verification difficulty explanation, which holds that task complexity, and thus misresponse and response latency, increases with the number of cognitive operations required for a respondent to compare a scale item with his or her belief. The observed results are well explained by the constituent comparison model. ABSTRACT FROM AUTHOR Copyright of Journal of Marketing Research (JMR) is the property of American Marketing Association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"family" : "Swain", "given" : "Scott D" }, { "family" : "Weathers", "given" : "Danny" }, { "family" : "Niedrich", "given" : "Ronald W" } ], "container-title" : "Journal of Marketing Research", "id" : "ITEM-1", "issue" : "1", "issued" : { "date-parts" : [ [ "2008" ] ] }, "note" : "&lt;m:note/&gt;", "page" : "116-131", "publisher" : "American Marketing Association", "title" : "Assessing Three Sources of Misresponse to Reversed Likert Items", "type" : "article-journal", "volume" : "45" }, "uris" : [ "http://www.mendeley.com/documents/?uuid=0f9853c8-dee8-42ca-b6b3-b8ec3cdf3bd7" ] } ], "mendeley" : { "previouslyFormattedCitation" : "&lt;sup&gt;23&lt;/sup&gt;" }, "properties" : { "noteIndex" : 0 }, "schema" : "https://github.com/citation-style-language/schema/raw/master/csl-citation.json" }</w:instrText>
      </w:r>
      <w:r w:rsidR="006F6711" w:rsidRPr="00467C54">
        <w:rPr>
          <w:rStyle w:val="FootnoteReference"/>
          <w:rFonts w:asciiTheme="majorHAnsi" w:eastAsia="Times New Roman" w:hAnsiTheme="majorHAnsi" w:cs="Calibri"/>
          <w:lang w:eastAsia="en-GB"/>
        </w:rPr>
        <w:fldChar w:fldCharType="separate"/>
      </w:r>
      <w:r w:rsidR="00EB25FC" w:rsidRPr="00467C54">
        <w:rPr>
          <w:rFonts w:asciiTheme="majorHAnsi" w:eastAsia="Times New Roman" w:hAnsiTheme="majorHAnsi" w:cs="Calibri"/>
          <w:noProof/>
          <w:vertAlign w:val="superscript"/>
          <w:lang w:eastAsia="en-GB"/>
        </w:rPr>
        <w:t>23</w:t>
      </w:r>
      <w:r w:rsidR="006F6711" w:rsidRPr="00467C54">
        <w:rPr>
          <w:rStyle w:val="FootnoteReference"/>
          <w:rFonts w:asciiTheme="majorHAnsi" w:eastAsia="Times New Roman" w:hAnsiTheme="majorHAnsi" w:cs="Calibri"/>
          <w:lang w:eastAsia="en-GB"/>
        </w:rPr>
        <w:fldChar w:fldCharType="end"/>
      </w:r>
      <w:r w:rsidR="002D6F68" w:rsidRPr="00467C54">
        <w:rPr>
          <w:rFonts w:asciiTheme="majorHAnsi" w:eastAsia="Times New Roman" w:hAnsiTheme="majorHAnsi" w:cs="Calibri"/>
          <w:lang w:eastAsia="en-GB"/>
        </w:rPr>
        <w:t xml:space="preserve"> and this in fact turned out to be the case. The reversed items 4, 16 and 22 ended up as some of the least well fitting items according to the Rasch analysis. Lack of fit can </w:t>
      </w:r>
      <w:r w:rsidR="00255FF3" w:rsidRPr="00467C54">
        <w:rPr>
          <w:rFonts w:asciiTheme="majorHAnsi" w:eastAsia="Times New Roman" w:hAnsiTheme="majorHAnsi" w:cs="Calibri"/>
          <w:lang w:eastAsia="en-GB"/>
        </w:rPr>
        <w:t xml:space="preserve">of course </w:t>
      </w:r>
      <w:r w:rsidR="002D6F68" w:rsidRPr="00467C54">
        <w:rPr>
          <w:rFonts w:asciiTheme="majorHAnsi" w:eastAsia="Times New Roman" w:hAnsiTheme="majorHAnsi" w:cs="Calibri"/>
          <w:lang w:eastAsia="en-GB"/>
        </w:rPr>
        <w:t xml:space="preserve">be explained by irrational responding and so there is a possibility that these items may not have provided the check against irrationality they were designed to avoid. </w:t>
      </w:r>
      <w:r w:rsidR="00255FF3" w:rsidRPr="00467C54">
        <w:rPr>
          <w:rFonts w:asciiTheme="majorHAnsi" w:eastAsia="Times New Roman" w:hAnsiTheme="majorHAnsi" w:cs="Calibri"/>
          <w:lang w:eastAsia="en-GB"/>
        </w:rPr>
        <w:t>T</w:t>
      </w:r>
      <w:r w:rsidR="002D6F68" w:rsidRPr="00467C54">
        <w:rPr>
          <w:rFonts w:asciiTheme="majorHAnsi" w:eastAsia="Times New Roman" w:hAnsiTheme="majorHAnsi" w:cs="Calibri"/>
          <w:lang w:eastAsia="en-GB"/>
        </w:rPr>
        <w:t>here is also the possibility that these items may have been answered entirely rationally but that they are not the best indicators of staff engagement. However, a check of the raw data would suggest that according to the pattern of responses to other questions</w:t>
      </w:r>
      <w:r w:rsidR="00255FF3" w:rsidRPr="00467C54">
        <w:rPr>
          <w:rFonts w:asciiTheme="majorHAnsi" w:eastAsia="Times New Roman" w:hAnsiTheme="majorHAnsi" w:cs="Calibri"/>
          <w:lang w:eastAsia="en-GB"/>
        </w:rPr>
        <w:t>,</w:t>
      </w:r>
      <w:r w:rsidR="00E77710" w:rsidRPr="00467C54">
        <w:rPr>
          <w:rFonts w:asciiTheme="majorHAnsi" w:eastAsia="Times New Roman" w:hAnsiTheme="majorHAnsi" w:cs="Calibri"/>
          <w:lang w:eastAsia="en-GB"/>
        </w:rPr>
        <w:t xml:space="preserve"> people had</w:t>
      </w:r>
      <w:r w:rsidR="002D6F68" w:rsidRPr="00467C54">
        <w:rPr>
          <w:rFonts w:asciiTheme="majorHAnsi" w:eastAsia="Times New Roman" w:hAnsiTheme="majorHAnsi" w:cs="Calibri"/>
          <w:lang w:eastAsia="en-GB"/>
        </w:rPr>
        <w:t xml:space="preserve"> spotted the reversal of these items. </w:t>
      </w:r>
      <w:r w:rsidR="00255FF3" w:rsidRPr="00467C54">
        <w:rPr>
          <w:rFonts w:asciiTheme="majorHAnsi" w:eastAsia="Times New Roman" w:hAnsiTheme="majorHAnsi" w:cs="Calibri"/>
          <w:lang w:eastAsia="en-GB"/>
        </w:rPr>
        <w:t>It is difficult to know what to suggest in these cases, except to acknowledge that people are inherently irrational</w:t>
      </w:r>
      <w:r w:rsidR="006F6711" w:rsidRPr="00467C54">
        <w:rPr>
          <w:rFonts w:asciiTheme="majorHAnsi" w:eastAsia="Times New Roman" w:hAnsiTheme="majorHAnsi" w:cs="Calibri"/>
          <w:lang w:eastAsia="en-GB"/>
        </w:rPr>
        <w:fldChar w:fldCharType="begin" w:fldLock="1"/>
      </w:r>
      <w:r w:rsidR="00EB25FC" w:rsidRPr="00467C54">
        <w:rPr>
          <w:rFonts w:asciiTheme="majorHAnsi" w:eastAsia="Times New Roman" w:hAnsiTheme="majorHAnsi" w:cs="Calibri"/>
          <w:lang w:eastAsia="en-GB"/>
        </w:rPr>
        <w:instrText>ADDIN CSL_CITATION { "citationItems" : [ { "id" : "ITEM-1", "itemData" : { "author" : [ { "family" : "Kahneman", "given" : "Daniel" } ], "id" : "ITEM-1", "issued" : { "date-parts" : [ [ "2011" ] ] }, "note" : "&lt;m:note/&gt;", "publisher" : "Penguin", "publisher-place" : "London.", "title" : "Thinking Fast and Slow", "type" : "book" }, "uris" : [ "http://www.mendeley.com/documents/?uuid=2bc1c4e3-cd2d-4ee3-8e25-591b931f6f02" ] } ], "mendeley" : { "previouslyFormattedCitation" : "&lt;sup&gt;24&lt;/sup&gt;" }, "properties" : { "noteIndex" : 0 }, "schema" : "https://github.com/citation-style-language/schema/raw/master/csl-citation.json" }</w:instrText>
      </w:r>
      <w:r w:rsidR="006F6711" w:rsidRPr="00467C54">
        <w:rPr>
          <w:rFonts w:asciiTheme="majorHAnsi" w:eastAsia="Times New Roman" w:hAnsiTheme="majorHAnsi" w:cs="Calibri"/>
          <w:lang w:eastAsia="en-GB"/>
        </w:rPr>
        <w:fldChar w:fldCharType="separate"/>
      </w:r>
      <w:r w:rsidR="00EB25FC" w:rsidRPr="00467C54">
        <w:rPr>
          <w:rFonts w:asciiTheme="majorHAnsi" w:eastAsia="Times New Roman" w:hAnsiTheme="majorHAnsi" w:cs="Calibri"/>
          <w:noProof/>
          <w:vertAlign w:val="superscript"/>
          <w:lang w:eastAsia="en-GB"/>
        </w:rPr>
        <w:t>24</w:t>
      </w:r>
      <w:r w:rsidR="006F6711" w:rsidRPr="00467C54">
        <w:rPr>
          <w:rFonts w:asciiTheme="majorHAnsi" w:eastAsia="Times New Roman" w:hAnsiTheme="majorHAnsi" w:cs="Calibri"/>
          <w:lang w:eastAsia="en-GB"/>
        </w:rPr>
        <w:fldChar w:fldCharType="end"/>
      </w:r>
      <w:r w:rsidR="00255FF3" w:rsidRPr="00467C54">
        <w:rPr>
          <w:rFonts w:asciiTheme="majorHAnsi" w:eastAsia="Times New Roman" w:hAnsiTheme="majorHAnsi" w:cs="Calibri"/>
          <w:lang w:eastAsia="en-GB"/>
        </w:rPr>
        <w:t xml:space="preserve"> and thus mitigating this may not be entirely </w:t>
      </w:r>
      <w:r w:rsidR="00763D9C" w:rsidRPr="00467C54">
        <w:rPr>
          <w:rFonts w:asciiTheme="majorHAnsi" w:eastAsia="Times New Roman" w:hAnsiTheme="majorHAnsi" w:cs="Calibri"/>
          <w:lang w:eastAsia="en-GB"/>
        </w:rPr>
        <w:t xml:space="preserve">possible </w:t>
      </w:r>
      <w:r w:rsidR="000C48AB" w:rsidRPr="00467C54">
        <w:rPr>
          <w:rFonts w:asciiTheme="majorHAnsi" w:eastAsia="Times New Roman" w:hAnsiTheme="majorHAnsi" w:cs="Calibri"/>
          <w:lang w:eastAsia="en-GB"/>
        </w:rPr>
        <w:t>through any technique other than ascertaining large samples</w:t>
      </w:r>
      <w:r w:rsidR="00A22509" w:rsidRPr="00467C54">
        <w:rPr>
          <w:rFonts w:asciiTheme="majorHAnsi" w:eastAsia="Times New Roman" w:hAnsiTheme="majorHAnsi" w:cs="Calibri"/>
          <w:lang w:eastAsia="en-GB"/>
        </w:rPr>
        <w:t xml:space="preserve">. </w:t>
      </w:r>
    </w:p>
    <w:p w:rsidR="00F22C95" w:rsidRPr="00467C54" w:rsidRDefault="00542837" w:rsidP="005A0156">
      <w:pPr>
        <w:pStyle w:val="Heading3"/>
        <w:rPr>
          <w:rFonts w:eastAsia="Times New Roman"/>
          <w:lang w:eastAsia="en-GB"/>
        </w:rPr>
      </w:pPr>
      <w:bookmarkStart w:id="93" w:name="_Toc351201898"/>
      <w:r w:rsidRPr="00467C54">
        <w:rPr>
          <w:rFonts w:eastAsia="Times New Roman"/>
          <w:lang w:eastAsia="en-GB"/>
        </w:rPr>
        <w:t>Item</w:t>
      </w:r>
      <w:r w:rsidR="0006696D" w:rsidRPr="00467C54">
        <w:rPr>
          <w:rFonts w:eastAsia="Times New Roman"/>
          <w:lang w:eastAsia="en-GB"/>
        </w:rPr>
        <w:t xml:space="preserve"> 29:</w:t>
      </w:r>
      <w:r w:rsidR="00F22C95" w:rsidRPr="00467C54">
        <w:rPr>
          <w:rFonts w:eastAsia="Times New Roman"/>
          <w:lang w:eastAsia="en-GB"/>
        </w:rPr>
        <w:t xml:space="preserve"> A global metric?</w:t>
      </w:r>
      <w:bookmarkEnd w:id="93"/>
    </w:p>
    <w:p w:rsidR="00BA2D96" w:rsidRPr="00467C54" w:rsidRDefault="00BA2D96" w:rsidP="005A0156">
      <w:pPr>
        <w:rPr>
          <w:rFonts w:asciiTheme="majorHAnsi" w:eastAsia="Times New Roman" w:hAnsiTheme="majorHAnsi" w:cs="Calibri"/>
          <w:lang w:eastAsia="en-GB"/>
        </w:rPr>
      </w:pPr>
    </w:p>
    <w:p w:rsidR="00397FBA" w:rsidRPr="00467C54" w:rsidRDefault="00471100" w:rsidP="005A0156">
      <w:pPr>
        <w:rPr>
          <w:rFonts w:asciiTheme="majorHAnsi" w:eastAsia="Times New Roman" w:hAnsiTheme="majorHAnsi" w:cs="Calibri"/>
          <w:lang w:eastAsia="en-GB"/>
        </w:rPr>
      </w:pPr>
      <w:r w:rsidRPr="00467C54">
        <w:rPr>
          <w:rFonts w:asciiTheme="majorHAnsi" w:eastAsia="Times New Roman" w:hAnsiTheme="majorHAnsi" w:cs="Calibri"/>
          <w:lang w:eastAsia="en-GB"/>
        </w:rPr>
        <w:t xml:space="preserve">A suggestion made </w:t>
      </w:r>
      <w:r w:rsidR="00981F46" w:rsidRPr="00467C54">
        <w:rPr>
          <w:rFonts w:asciiTheme="majorHAnsi" w:eastAsia="Times New Roman" w:hAnsiTheme="majorHAnsi" w:cs="Calibri"/>
          <w:lang w:eastAsia="en-GB"/>
        </w:rPr>
        <w:t xml:space="preserve">by the evaluation team </w:t>
      </w:r>
      <w:r w:rsidRPr="00467C54">
        <w:rPr>
          <w:rFonts w:asciiTheme="majorHAnsi" w:eastAsia="Times New Roman" w:hAnsiTheme="majorHAnsi" w:cs="Calibri"/>
          <w:lang w:eastAsia="en-GB"/>
        </w:rPr>
        <w:t xml:space="preserve">after the interim report </w:t>
      </w:r>
      <w:r w:rsidR="00981F46" w:rsidRPr="00467C54">
        <w:rPr>
          <w:rFonts w:asciiTheme="majorHAnsi" w:eastAsia="Times New Roman" w:hAnsiTheme="majorHAnsi" w:cs="Calibri"/>
          <w:lang w:eastAsia="en-GB"/>
        </w:rPr>
        <w:t>was the possible addition of a simple scale to ascertain level of engagement. This method has a successful history in other areas of psychometrics such as the distress thermometer for example</w:t>
      </w:r>
      <w:r w:rsidR="006F6711" w:rsidRPr="00467C54">
        <w:rPr>
          <w:rStyle w:val="FootnoteReference"/>
          <w:rFonts w:asciiTheme="majorHAnsi" w:eastAsia="Times New Roman" w:hAnsiTheme="majorHAnsi" w:cs="Calibri"/>
          <w:lang w:eastAsia="en-GB"/>
        </w:rPr>
        <w:fldChar w:fldCharType="begin" w:fldLock="1"/>
      </w:r>
      <w:r w:rsidR="00EB25FC" w:rsidRPr="00467C54">
        <w:rPr>
          <w:rFonts w:asciiTheme="majorHAnsi" w:eastAsia="Times New Roman" w:hAnsiTheme="majorHAnsi" w:cs="Calibri"/>
          <w:lang w:eastAsia="en-GB"/>
        </w:rPr>
        <w:instrText>ADDIN CSL_CITATION { "citationItems" : [ { "id" : "ITEM-1", "itemData" : { "DOI" : "8/4/487 [pii]", "ISBN" : "1540-1405 (Print)\n1540-1405 (Linking)", "abstract" : "Clinicians are increasingly seeking efficient methods to identify distress in cancer settings, using short screening tools with fewer than 14 items that take less than 5 minutes to complete. This article examines the value of these tools for identifying cancer-related distress, defined by semi-structured interview. An updated search, appraisal, and meta-analysis, with adjustments made for heterogeneity and underlying prevalence variations, identified 45 potentially useful short and ultra-short tools, although most were intended to help diagnose depression, with few targeted at distress (or anxiety). Very few studies attempted robust validation in cancer settings. When studies were limited to those tested against distress defined by semi-structured interview, only 6 methods had been validated, namely the Hospital Anxiety and Depression Scale (HADS; 13 studies, 14 items), the Distress Thermometer (DT; 4 studies, 1 item), a single verbal question (4 studies, 1 item), the Psychological Distress Inventory (PDI; 1 study, 13 items), combined DT and an impact thermometer (1 study, 2 items), and combined 2 verbal questions (1 study, 2 items). Comparing these 6 approaches side-by-side suggests that for screening, all tools have approximately the same accuracy. Therefore, choice of a short screening tool for distress can be based on acceptability or cost-effectiveness. Here, best evidence supports use of the DT or single verbal question. Remarkably, the overall accuracy of these single-item approaches seems comparable to that of the 14-item HADS (total score), whereas their efficiency is superior. For case-finding, data are sparse but no method seems to be entirely satisfactory. Current evidence suggests that the optimal short methods for identifying distress are 2 verbal questions or PDI. Of these approaches, the 2 verbal questions has superior efficiency. All short methods may be augmented by repeated application, an assessment of unmet needs (problem list), and clarification regarding the need for professional help. No screening tool should be seen as an alternative to careful clinical assessment and management. Despite much interest in the development of short and ultra-short tools, data on validation and implementation are currently incomplete. Nevertheless, short methods seem to be at least as successful as the HADS, although substantially more efficient and hence more acceptable, and therefore may be a suitable initial method of assessment in busy clinical \u2026", "author" : [ { "family" : "Mitchell", "given" : "A J" } ], "container-title" : "J Natl Compr Canc Netw", "edition" : "2010/04/23", "id" : "ITEM-1", "issue" : "4", "issued" : { "date-parts" : [ [ "2010" ] ] }, "note" : "&lt;m:note&gt;Mitchell, Alex J&lt;m:linebreak/&gt;United States&lt;m:linebreak/&gt;Journal of the National Comprehensive Cancer Network : JNCCN&lt;m:linebreak/&gt;J Natl Compr Canc Netw. 2010 Apr;8(4):487-94.&lt;/m:note&gt;", "page" : "487-494", "title" : "Short screening tools for cancer-related distress: a review and diagnostic validity meta-analysis", "type" : "article-journal", "volume" : "8" }, "uris" : [ "http://www.mendeley.com/documents/?uuid=775713ef-4849-43d4-a200-8a1c39c9a39f" ] } ], "mendeley" : { "previouslyFormattedCitation" : "&lt;sup&gt;25&lt;/sup&gt;" }, "properties" : { "noteIndex" : 0 }, "schema" : "https://github.com/citation-style-language/schema/raw/master/csl-citation.json" }</w:instrText>
      </w:r>
      <w:r w:rsidR="006F6711" w:rsidRPr="00467C54">
        <w:rPr>
          <w:rStyle w:val="FootnoteReference"/>
          <w:rFonts w:asciiTheme="majorHAnsi" w:eastAsia="Times New Roman" w:hAnsiTheme="majorHAnsi" w:cs="Calibri"/>
          <w:lang w:eastAsia="en-GB"/>
        </w:rPr>
        <w:fldChar w:fldCharType="separate"/>
      </w:r>
      <w:r w:rsidR="00EB25FC" w:rsidRPr="00467C54">
        <w:rPr>
          <w:rFonts w:asciiTheme="majorHAnsi" w:eastAsia="Times New Roman" w:hAnsiTheme="majorHAnsi" w:cs="Calibri"/>
          <w:noProof/>
          <w:vertAlign w:val="superscript"/>
          <w:lang w:eastAsia="en-GB"/>
        </w:rPr>
        <w:t>25</w:t>
      </w:r>
      <w:r w:rsidR="006F6711" w:rsidRPr="00467C54">
        <w:rPr>
          <w:rStyle w:val="FootnoteReference"/>
          <w:rFonts w:asciiTheme="majorHAnsi" w:eastAsia="Times New Roman" w:hAnsiTheme="majorHAnsi" w:cs="Calibri"/>
          <w:lang w:eastAsia="en-GB"/>
        </w:rPr>
        <w:fldChar w:fldCharType="end"/>
      </w:r>
      <w:r w:rsidR="00981F46" w:rsidRPr="00467C54">
        <w:rPr>
          <w:rFonts w:asciiTheme="majorHAnsi" w:eastAsia="Times New Roman" w:hAnsiTheme="majorHAnsi" w:cs="Calibri"/>
          <w:lang w:eastAsia="en-GB"/>
        </w:rPr>
        <w:t xml:space="preserve">, where certain </w:t>
      </w:r>
      <w:r w:rsidR="002D6F68" w:rsidRPr="00467C54">
        <w:rPr>
          <w:rFonts w:asciiTheme="majorHAnsi" w:eastAsia="Times New Roman" w:hAnsiTheme="majorHAnsi" w:cs="Calibri"/>
          <w:lang w:eastAsia="en-GB"/>
        </w:rPr>
        <w:t>cut-offs</w:t>
      </w:r>
      <w:r w:rsidR="00981F46" w:rsidRPr="00467C54">
        <w:rPr>
          <w:rFonts w:asciiTheme="majorHAnsi" w:eastAsia="Times New Roman" w:hAnsiTheme="majorHAnsi" w:cs="Calibri"/>
          <w:lang w:eastAsia="en-GB"/>
        </w:rPr>
        <w:t xml:space="preserve"> on the scale are reliable indicators of severity of clinical distress. </w:t>
      </w:r>
      <w:r w:rsidR="002D6F68" w:rsidRPr="00467C54">
        <w:rPr>
          <w:rFonts w:asciiTheme="majorHAnsi" w:eastAsia="Times New Roman" w:hAnsiTheme="majorHAnsi" w:cs="Calibri"/>
          <w:lang w:eastAsia="en-GB"/>
        </w:rPr>
        <w:t>In pilot 3 we therefore added the</w:t>
      </w:r>
      <w:r w:rsidRPr="00467C54">
        <w:rPr>
          <w:rFonts w:asciiTheme="majorHAnsi" w:eastAsia="Times New Roman" w:hAnsiTheme="majorHAnsi" w:cs="Calibri"/>
          <w:lang w:eastAsia="en-GB"/>
        </w:rPr>
        <w:t xml:space="preserve"> global engagement question</w:t>
      </w:r>
      <w:r w:rsidR="002D6F68" w:rsidRPr="00467C54">
        <w:rPr>
          <w:rFonts w:asciiTheme="majorHAnsi" w:eastAsia="Times New Roman" w:hAnsiTheme="majorHAnsi" w:cs="Calibri"/>
          <w:lang w:eastAsia="en-GB"/>
        </w:rPr>
        <w:t xml:space="preserve"> 29: </w:t>
      </w:r>
      <w:r w:rsidRPr="00467C54">
        <w:rPr>
          <w:rFonts w:asciiTheme="majorHAnsi" w:eastAsia="Times New Roman" w:hAnsiTheme="majorHAnsi" w:cs="Calibri"/>
          <w:lang w:eastAsia="en-GB"/>
        </w:rPr>
        <w:t xml:space="preserve"> ‘</w:t>
      </w:r>
      <w:r w:rsidRPr="00467C54">
        <w:rPr>
          <w:rFonts w:asciiTheme="majorHAnsi" w:eastAsia="Times New Roman" w:hAnsiTheme="majorHAnsi" w:cs="Calibri"/>
          <w:i/>
          <w:lang w:eastAsia="en-GB"/>
        </w:rPr>
        <w:t>overall working within my organisation is a (0 – 10 scale) experience</w:t>
      </w:r>
      <w:r w:rsidRPr="00467C54">
        <w:rPr>
          <w:rFonts w:asciiTheme="majorHAnsi" w:eastAsia="Times New Roman" w:hAnsiTheme="majorHAnsi" w:cs="Calibri"/>
          <w:lang w:eastAsia="en-GB"/>
        </w:rPr>
        <w:t xml:space="preserve">’. </w:t>
      </w:r>
      <w:r w:rsidR="00981F46" w:rsidRPr="00467C54">
        <w:rPr>
          <w:rFonts w:asciiTheme="majorHAnsi" w:eastAsia="Times New Roman" w:hAnsiTheme="majorHAnsi" w:cs="Calibri"/>
          <w:lang w:eastAsia="en-GB"/>
        </w:rPr>
        <w:t>If successful this could provide a very quick standalone measure.</w:t>
      </w:r>
      <w:r w:rsidR="00653FCC" w:rsidRPr="00467C54">
        <w:rPr>
          <w:rFonts w:asciiTheme="majorHAnsi" w:eastAsia="Times New Roman" w:hAnsiTheme="majorHAnsi" w:cs="Calibri"/>
          <w:lang w:eastAsia="en-GB"/>
        </w:rPr>
        <w:t xml:space="preserve"> </w:t>
      </w:r>
      <w:r w:rsidR="00961F9F" w:rsidRPr="00467C54">
        <w:rPr>
          <w:rFonts w:asciiTheme="majorHAnsi" w:eastAsia="Times New Roman" w:hAnsiTheme="majorHAnsi" w:cs="Calibri"/>
          <w:lang w:eastAsia="en-GB"/>
        </w:rPr>
        <w:t xml:space="preserve">Because the concept of engagement is so broad this type of question would only make sense at the end of the questionnaire. That is, the questionnaire could </w:t>
      </w:r>
      <w:r w:rsidR="00961F9F" w:rsidRPr="00467C54">
        <w:rPr>
          <w:rFonts w:asciiTheme="majorHAnsi" w:eastAsia="Times New Roman" w:hAnsiTheme="majorHAnsi" w:cs="Calibri"/>
          <w:i/>
          <w:lang w:eastAsia="en-GB"/>
        </w:rPr>
        <w:t>not be replaced</w:t>
      </w:r>
      <w:r w:rsidR="00961F9F" w:rsidRPr="00467C54">
        <w:rPr>
          <w:rFonts w:asciiTheme="majorHAnsi" w:eastAsia="Times New Roman" w:hAnsiTheme="majorHAnsi" w:cs="Calibri"/>
          <w:lang w:eastAsia="en-GB"/>
        </w:rPr>
        <w:t xml:space="preserve"> by such a measure, but there is a strong possibility that such a measure may </w:t>
      </w:r>
      <w:r w:rsidR="00961F9F" w:rsidRPr="00467C54">
        <w:rPr>
          <w:rFonts w:asciiTheme="majorHAnsi" w:eastAsia="Times New Roman" w:hAnsiTheme="majorHAnsi" w:cs="Calibri"/>
          <w:i/>
          <w:lang w:eastAsia="en-GB"/>
        </w:rPr>
        <w:t>correlate</w:t>
      </w:r>
      <w:r w:rsidR="00961F9F" w:rsidRPr="00467C54">
        <w:rPr>
          <w:rFonts w:asciiTheme="majorHAnsi" w:eastAsia="Times New Roman" w:hAnsiTheme="majorHAnsi" w:cs="Calibri"/>
          <w:lang w:eastAsia="en-GB"/>
        </w:rPr>
        <w:t xml:space="preserve"> with</w:t>
      </w:r>
      <w:r w:rsidR="00542837" w:rsidRPr="00467C54">
        <w:rPr>
          <w:rFonts w:asciiTheme="majorHAnsi" w:eastAsia="Times New Roman" w:hAnsiTheme="majorHAnsi" w:cs="Calibri"/>
          <w:lang w:eastAsia="en-GB"/>
        </w:rPr>
        <w:t xml:space="preserve"> the questionnaire. As such it c</w:t>
      </w:r>
      <w:r w:rsidR="00961F9F" w:rsidRPr="00467C54">
        <w:rPr>
          <w:rFonts w:asciiTheme="majorHAnsi" w:eastAsia="Times New Roman" w:hAnsiTheme="majorHAnsi" w:cs="Calibri"/>
          <w:lang w:eastAsia="en-GB"/>
        </w:rPr>
        <w:t xml:space="preserve">ould be an important standalone metric to convey a global measure of engagement. </w:t>
      </w:r>
    </w:p>
    <w:p w:rsidR="002D6F68" w:rsidRPr="00467C54" w:rsidRDefault="002D6F68" w:rsidP="005A0156">
      <w:pPr>
        <w:rPr>
          <w:rFonts w:asciiTheme="majorHAnsi" w:eastAsia="Times New Roman" w:hAnsiTheme="majorHAnsi" w:cs="Calibri"/>
          <w:lang w:eastAsia="en-GB"/>
        </w:rPr>
      </w:pPr>
    </w:p>
    <w:p w:rsidR="00BD2065" w:rsidRPr="00467C54" w:rsidRDefault="00592CD1" w:rsidP="005A0156">
      <w:pPr>
        <w:spacing w:after="120"/>
        <w:ind w:right="-138"/>
        <w:rPr>
          <w:rFonts w:asciiTheme="majorHAnsi" w:hAnsiTheme="majorHAnsi" w:cstheme="minorHAnsi"/>
        </w:rPr>
      </w:pPr>
      <w:r w:rsidRPr="00467C54">
        <w:rPr>
          <w:rFonts w:asciiTheme="majorHAnsi" w:hAnsiTheme="majorHAnsi" w:cstheme="minorHAnsi"/>
        </w:rPr>
        <w:t xml:space="preserve">This is in fact what happened in this sample. There was a very strong correlation between the </w:t>
      </w:r>
      <w:r w:rsidR="00542837" w:rsidRPr="00467C54">
        <w:rPr>
          <w:rFonts w:asciiTheme="majorHAnsi" w:hAnsiTheme="majorHAnsi" w:cstheme="minorHAnsi"/>
        </w:rPr>
        <w:t xml:space="preserve">NHSEEI and item 29 (table </w:t>
      </w:r>
      <w:r w:rsidR="00E27239" w:rsidRPr="00467C54">
        <w:rPr>
          <w:rFonts w:asciiTheme="majorHAnsi" w:hAnsiTheme="majorHAnsi" w:cstheme="minorHAnsi"/>
        </w:rPr>
        <w:t>4</w:t>
      </w:r>
      <w:r w:rsidR="00542837" w:rsidRPr="00467C54">
        <w:rPr>
          <w:rFonts w:asciiTheme="majorHAnsi" w:hAnsiTheme="majorHAnsi" w:cstheme="minorHAnsi"/>
        </w:rPr>
        <w:t xml:space="preserve">). This is an </w:t>
      </w:r>
      <w:r w:rsidRPr="00467C54">
        <w:rPr>
          <w:rFonts w:asciiTheme="majorHAnsi" w:hAnsiTheme="majorHAnsi" w:cstheme="minorHAnsi"/>
        </w:rPr>
        <w:t xml:space="preserve">important finding and suggests this question should be </w:t>
      </w:r>
      <w:r w:rsidR="00E2005C" w:rsidRPr="00467C54">
        <w:rPr>
          <w:rFonts w:asciiTheme="majorHAnsi" w:hAnsiTheme="majorHAnsi" w:cstheme="minorHAnsi"/>
        </w:rPr>
        <w:t>retained</w:t>
      </w:r>
      <w:r w:rsidRPr="00467C54">
        <w:rPr>
          <w:rFonts w:asciiTheme="majorHAnsi" w:hAnsiTheme="majorHAnsi" w:cstheme="minorHAnsi"/>
        </w:rPr>
        <w:t xml:space="preserve">. Because </w:t>
      </w:r>
      <w:r w:rsidR="00E27239" w:rsidRPr="00467C54">
        <w:rPr>
          <w:rFonts w:asciiTheme="majorHAnsi" w:hAnsiTheme="majorHAnsi" w:cstheme="minorHAnsi"/>
        </w:rPr>
        <w:t>item 29</w:t>
      </w:r>
      <w:r w:rsidRPr="00467C54">
        <w:rPr>
          <w:rFonts w:asciiTheme="majorHAnsi" w:hAnsiTheme="majorHAnsi" w:cstheme="minorHAnsi"/>
        </w:rPr>
        <w:t xml:space="preserve"> follows 28 valid items questioning staff engagement it is highly likely this is an accurate metric of any particular individual’s global judgement of their engagement. Because it correlates so well with the </w:t>
      </w:r>
      <w:r w:rsidR="00542837" w:rsidRPr="00467C54">
        <w:rPr>
          <w:rFonts w:asciiTheme="majorHAnsi" w:hAnsiTheme="majorHAnsi" w:cstheme="minorHAnsi"/>
        </w:rPr>
        <w:t>NHSEEI</w:t>
      </w:r>
      <w:r w:rsidRPr="00467C54">
        <w:rPr>
          <w:rFonts w:asciiTheme="majorHAnsi" w:hAnsiTheme="majorHAnsi" w:cstheme="minorHAnsi"/>
        </w:rPr>
        <w:t xml:space="preserve"> </w:t>
      </w:r>
      <w:r w:rsidR="00542837" w:rsidRPr="00467C54">
        <w:rPr>
          <w:rFonts w:asciiTheme="majorHAnsi" w:hAnsiTheme="majorHAnsi" w:cstheme="minorHAnsi"/>
        </w:rPr>
        <w:t>item 29 may have a function</w:t>
      </w:r>
      <w:r w:rsidRPr="00467C54">
        <w:rPr>
          <w:rFonts w:asciiTheme="majorHAnsi" w:hAnsiTheme="majorHAnsi" w:cstheme="minorHAnsi"/>
        </w:rPr>
        <w:t xml:space="preserve"> for reporting </w:t>
      </w:r>
      <w:r w:rsidR="00542837" w:rsidRPr="00467C54">
        <w:rPr>
          <w:rFonts w:asciiTheme="majorHAnsi" w:hAnsiTheme="majorHAnsi" w:cstheme="minorHAnsi"/>
        </w:rPr>
        <w:t xml:space="preserve">and data validation/cross checking </w:t>
      </w:r>
      <w:r w:rsidRPr="00467C54">
        <w:rPr>
          <w:rFonts w:asciiTheme="majorHAnsi" w:hAnsiTheme="majorHAnsi" w:cstheme="minorHAnsi"/>
        </w:rPr>
        <w:t>purposes.</w:t>
      </w:r>
      <w:r w:rsidR="00542837" w:rsidRPr="00467C54">
        <w:rPr>
          <w:rFonts w:asciiTheme="majorHAnsi" w:hAnsiTheme="majorHAnsi" w:cstheme="minorHAnsi"/>
        </w:rPr>
        <w:t xml:space="preserve"> However, we would strongly caution against this metric ever </w:t>
      </w:r>
      <w:r w:rsidR="00542837" w:rsidRPr="00467C54">
        <w:rPr>
          <w:rFonts w:asciiTheme="majorHAnsi" w:hAnsiTheme="majorHAnsi" w:cstheme="minorHAnsi"/>
          <w:i/>
        </w:rPr>
        <w:t>replacing</w:t>
      </w:r>
      <w:r w:rsidR="00542837" w:rsidRPr="00467C54">
        <w:rPr>
          <w:rFonts w:asciiTheme="majorHAnsi" w:hAnsiTheme="majorHAnsi" w:cstheme="minorHAnsi"/>
        </w:rPr>
        <w:t xml:space="preserve"> the NHSEEI. The NHSEEI can be just as effectively reduced to a single score for ease of reporting and this single score entails information from 28 validated items generated by NHS</w:t>
      </w:r>
      <w:r w:rsidR="003A40B0">
        <w:rPr>
          <w:rFonts w:asciiTheme="majorHAnsi" w:hAnsiTheme="majorHAnsi" w:cstheme="minorHAnsi"/>
        </w:rPr>
        <w:t xml:space="preserve"> </w:t>
      </w:r>
      <w:r w:rsidR="00542837" w:rsidRPr="00467C54">
        <w:rPr>
          <w:rFonts w:asciiTheme="majorHAnsi" w:hAnsiTheme="majorHAnsi" w:cstheme="minorHAnsi"/>
        </w:rPr>
        <w:t xml:space="preserve">Scotland staff themselves, not just a single global judgement. </w:t>
      </w:r>
    </w:p>
    <w:p w:rsidR="00876EBB" w:rsidRPr="00467C54" w:rsidRDefault="00F101D5" w:rsidP="005A0156">
      <w:pPr>
        <w:pStyle w:val="Heading3"/>
      </w:pPr>
      <w:bookmarkStart w:id="94" w:name="_Toc351201899"/>
      <w:r w:rsidRPr="00467C54">
        <w:t xml:space="preserve">What </w:t>
      </w:r>
      <w:r w:rsidR="00542837" w:rsidRPr="00467C54">
        <w:t>did NHSScotland staff think of the NHSEEI</w:t>
      </w:r>
      <w:r w:rsidRPr="00467C54">
        <w:t>?</w:t>
      </w:r>
      <w:bookmarkEnd w:id="94"/>
    </w:p>
    <w:p w:rsidR="00542837" w:rsidRPr="00467C54" w:rsidRDefault="00542837" w:rsidP="005A0156">
      <w:pPr>
        <w:widowControl w:val="0"/>
        <w:autoSpaceDE w:val="0"/>
        <w:autoSpaceDN w:val="0"/>
        <w:adjustRightInd w:val="0"/>
        <w:spacing w:after="240"/>
        <w:rPr>
          <w:rFonts w:asciiTheme="majorHAnsi" w:hAnsiTheme="majorHAnsi" w:cs="Times"/>
          <w:lang w:val="en-US"/>
        </w:rPr>
      </w:pPr>
      <w:r w:rsidRPr="00467C54">
        <w:rPr>
          <w:rFonts w:asciiTheme="majorHAnsi" w:hAnsiTheme="majorHAnsi" w:cs="Times"/>
          <w:lang w:val="en-US"/>
        </w:rPr>
        <w:t>Following this f</w:t>
      </w:r>
      <w:r w:rsidR="00F81F64" w:rsidRPr="00467C54">
        <w:rPr>
          <w:rFonts w:asciiTheme="majorHAnsi" w:hAnsiTheme="majorHAnsi" w:cs="Times"/>
          <w:lang w:val="en-US"/>
        </w:rPr>
        <w:t>inal pilot three</w:t>
      </w:r>
      <w:r w:rsidRPr="00467C54">
        <w:rPr>
          <w:rFonts w:asciiTheme="majorHAnsi" w:hAnsiTheme="majorHAnsi" w:cs="Times"/>
          <w:lang w:val="en-US"/>
        </w:rPr>
        <w:t xml:space="preserve"> focus groups were held with participating NHS boards. The following is a very brief summary of themes.</w:t>
      </w:r>
    </w:p>
    <w:p w:rsidR="00A420DC" w:rsidRPr="00467C54" w:rsidRDefault="00542837"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The i</w:t>
      </w:r>
      <w:r w:rsidR="0010496F" w:rsidRPr="00467C54">
        <w:rPr>
          <w:rFonts w:asciiTheme="majorHAnsi" w:hAnsiTheme="majorHAnsi" w:cs="Times"/>
          <w:lang w:val="en-US"/>
        </w:rPr>
        <w:t>ssues of anonymity</w:t>
      </w:r>
      <w:r w:rsidRPr="00467C54">
        <w:rPr>
          <w:rFonts w:asciiTheme="majorHAnsi" w:hAnsiTheme="majorHAnsi" w:cs="Times"/>
          <w:lang w:val="en-US"/>
        </w:rPr>
        <w:t xml:space="preserve"> persisted in small teams. If people do not feel they can be genuinely anonymous then there remains a potential for </w:t>
      </w:r>
      <w:r w:rsidR="00E2005C" w:rsidRPr="00467C54">
        <w:rPr>
          <w:rFonts w:asciiTheme="majorHAnsi" w:hAnsiTheme="majorHAnsi" w:cs="Times"/>
          <w:lang w:val="en-US"/>
        </w:rPr>
        <w:t xml:space="preserve">disengagement with process. However, it was interesting to note that </w:t>
      </w:r>
      <w:r w:rsidRPr="00467C54">
        <w:rPr>
          <w:rFonts w:asciiTheme="majorHAnsi" w:hAnsiTheme="majorHAnsi" w:cs="Times"/>
          <w:lang w:val="en-US"/>
        </w:rPr>
        <w:t xml:space="preserve">even these cautious individuals </w:t>
      </w:r>
      <w:r w:rsidR="00024F81" w:rsidRPr="00467C54">
        <w:rPr>
          <w:rFonts w:asciiTheme="majorHAnsi" w:hAnsiTheme="majorHAnsi" w:cs="Times"/>
          <w:lang w:val="en-US"/>
        </w:rPr>
        <w:t xml:space="preserve">recognized </w:t>
      </w:r>
      <w:r w:rsidR="00E2005C" w:rsidRPr="00467C54">
        <w:rPr>
          <w:rFonts w:asciiTheme="majorHAnsi" w:hAnsiTheme="majorHAnsi" w:cs="Times"/>
          <w:lang w:val="en-US"/>
        </w:rPr>
        <w:t xml:space="preserve">and supported </w:t>
      </w:r>
      <w:r w:rsidR="00024F81" w:rsidRPr="00467C54">
        <w:rPr>
          <w:rFonts w:asciiTheme="majorHAnsi" w:hAnsiTheme="majorHAnsi" w:cs="Times"/>
          <w:lang w:val="en-US"/>
        </w:rPr>
        <w:t>the</w:t>
      </w:r>
      <w:r w:rsidR="0010496F" w:rsidRPr="00467C54">
        <w:rPr>
          <w:rFonts w:asciiTheme="majorHAnsi" w:hAnsiTheme="majorHAnsi" w:cs="Times"/>
          <w:lang w:val="en-US"/>
        </w:rPr>
        <w:t xml:space="preserve"> necessity </w:t>
      </w:r>
      <w:r w:rsidR="00E2005C" w:rsidRPr="00467C54">
        <w:rPr>
          <w:rFonts w:asciiTheme="majorHAnsi" w:hAnsiTheme="majorHAnsi" w:cs="Times"/>
          <w:lang w:val="en-US"/>
        </w:rPr>
        <w:t>of</w:t>
      </w:r>
      <w:r w:rsidR="0010496F" w:rsidRPr="00467C54">
        <w:rPr>
          <w:rFonts w:asciiTheme="majorHAnsi" w:hAnsiTheme="majorHAnsi" w:cs="Times"/>
          <w:lang w:val="en-US"/>
        </w:rPr>
        <w:t xml:space="preserve"> </w:t>
      </w:r>
      <w:r w:rsidR="00024F81" w:rsidRPr="00467C54">
        <w:rPr>
          <w:rFonts w:asciiTheme="majorHAnsi" w:hAnsiTheme="majorHAnsi" w:cs="Times"/>
          <w:lang w:val="en-US"/>
        </w:rPr>
        <w:t xml:space="preserve">the </w:t>
      </w:r>
      <w:r w:rsidR="0010496F" w:rsidRPr="00467C54">
        <w:rPr>
          <w:rFonts w:asciiTheme="majorHAnsi" w:hAnsiTheme="majorHAnsi" w:cs="Times"/>
          <w:lang w:val="en-US"/>
        </w:rPr>
        <w:t>exercise</w:t>
      </w:r>
    </w:p>
    <w:p w:rsidR="0010496F" w:rsidRPr="00467C54" w:rsidRDefault="00024F81"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 xml:space="preserve">Participants sometimes missed the managers’ name, </w:t>
      </w:r>
      <w:r w:rsidR="0010496F" w:rsidRPr="00467C54">
        <w:rPr>
          <w:rFonts w:asciiTheme="majorHAnsi" w:hAnsiTheme="majorHAnsi" w:cs="Times"/>
          <w:lang w:val="en-US"/>
        </w:rPr>
        <w:t xml:space="preserve">even though </w:t>
      </w:r>
      <w:r w:rsidRPr="00467C54">
        <w:rPr>
          <w:rFonts w:asciiTheme="majorHAnsi" w:hAnsiTheme="majorHAnsi" w:cs="Times"/>
          <w:lang w:val="en-US"/>
        </w:rPr>
        <w:t xml:space="preserve">it was </w:t>
      </w:r>
      <w:r w:rsidR="0010496F" w:rsidRPr="00467C54">
        <w:rPr>
          <w:rFonts w:asciiTheme="majorHAnsi" w:hAnsiTheme="majorHAnsi" w:cs="Times"/>
          <w:lang w:val="en-US"/>
        </w:rPr>
        <w:t>specified</w:t>
      </w:r>
      <w:r w:rsidRPr="00467C54">
        <w:rPr>
          <w:rFonts w:asciiTheme="majorHAnsi" w:hAnsiTheme="majorHAnsi" w:cs="Times"/>
          <w:lang w:val="en-US"/>
        </w:rPr>
        <w:t xml:space="preserve"> on the questionnaire</w:t>
      </w:r>
      <w:r w:rsidR="0010496F" w:rsidRPr="00467C54">
        <w:rPr>
          <w:rFonts w:asciiTheme="majorHAnsi" w:hAnsiTheme="majorHAnsi" w:cs="Times"/>
          <w:lang w:val="en-US"/>
        </w:rPr>
        <w:t xml:space="preserve">. Some </w:t>
      </w:r>
      <w:r w:rsidRPr="00467C54">
        <w:rPr>
          <w:rFonts w:asciiTheme="majorHAnsi" w:hAnsiTheme="majorHAnsi" w:cs="Times"/>
          <w:lang w:val="en-US"/>
        </w:rPr>
        <w:t xml:space="preserve">participants </w:t>
      </w:r>
      <w:r w:rsidR="0010496F" w:rsidRPr="00467C54">
        <w:rPr>
          <w:rFonts w:asciiTheme="majorHAnsi" w:hAnsiTheme="majorHAnsi" w:cs="Times"/>
          <w:lang w:val="en-US"/>
        </w:rPr>
        <w:t xml:space="preserve">wanted to talk about </w:t>
      </w:r>
      <w:r w:rsidRPr="00467C54">
        <w:rPr>
          <w:rFonts w:asciiTheme="majorHAnsi" w:hAnsiTheme="majorHAnsi" w:cs="Times"/>
          <w:lang w:val="en-US"/>
        </w:rPr>
        <w:t xml:space="preserve">a different </w:t>
      </w:r>
      <w:r w:rsidR="0010496F" w:rsidRPr="00467C54">
        <w:rPr>
          <w:rFonts w:asciiTheme="majorHAnsi" w:hAnsiTheme="majorHAnsi" w:cs="Times"/>
          <w:lang w:val="en-US"/>
        </w:rPr>
        <w:t xml:space="preserve">supervisor instead. Some managers </w:t>
      </w:r>
      <w:r w:rsidRPr="00467C54">
        <w:rPr>
          <w:rFonts w:asciiTheme="majorHAnsi" w:hAnsiTheme="majorHAnsi" w:cs="Times"/>
          <w:lang w:val="en-US"/>
        </w:rPr>
        <w:t xml:space="preserve">were </w:t>
      </w:r>
      <w:r w:rsidR="0010496F" w:rsidRPr="00467C54">
        <w:rPr>
          <w:rFonts w:asciiTheme="majorHAnsi" w:hAnsiTheme="majorHAnsi" w:cs="Times"/>
          <w:lang w:val="en-US"/>
        </w:rPr>
        <w:t xml:space="preserve">unhappy </w:t>
      </w:r>
      <w:r w:rsidRPr="00467C54">
        <w:rPr>
          <w:rFonts w:asciiTheme="majorHAnsi" w:hAnsiTheme="majorHAnsi" w:cs="Times"/>
          <w:lang w:val="en-US"/>
        </w:rPr>
        <w:t xml:space="preserve">about </w:t>
      </w:r>
      <w:r w:rsidR="0010496F" w:rsidRPr="00467C54">
        <w:rPr>
          <w:rFonts w:asciiTheme="majorHAnsi" w:hAnsiTheme="majorHAnsi" w:cs="Times"/>
          <w:lang w:val="en-US"/>
        </w:rPr>
        <w:t xml:space="preserve">being named but </w:t>
      </w:r>
      <w:r w:rsidRPr="00467C54">
        <w:rPr>
          <w:rFonts w:asciiTheme="majorHAnsi" w:hAnsiTheme="majorHAnsi" w:cs="Times"/>
          <w:lang w:val="en-US"/>
        </w:rPr>
        <w:t xml:space="preserve">again all </w:t>
      </w:r>
      <w:r w:rsidR="0010496F" w:rsidRPr="00467C54">
        <w:rPr>
          <w:rFonts w:asciiTheme="majorHAnsi" w:hAnsiTheme="majorHAnsi" w:cs="Times"/>
          <w:lang w:val="en-US"/>
        </w:rPr>
        <w:t xml:space="preserve">saw </w:t>
      </w:r>
      <w:r w:rsidRPr="00467C54">
        <w:rPr>
          <w:rFonts w:asciiTheme="majorHAnsi" w:hAnsiTheme="majorHAnsi" w:cs="Times"/>
          <w:lang w:val="en-US"/>
        </w:rPr>
        <w:t xml:space="preserve">the </w:t>
      </w:r>
      <w:r w:rsidR="0010496F" w:rsidRPr="00467C54">
        <w:rPr>
          <w:rFonts w:asciiTheme="majorHAnsi" w:hAnsiTheme="majorHAnsi" w:cs="Times"/>
          <w:lang w:val="en-US"/>
        </w:rPr>
        <w:t>necessity and benefit</w:t>
      </w:r>
      <w:r w:rsidRPr="00467C54">
        <w:rPr>
          <w:rFonts w:asciiTheme="majorHAnsi" w:hAnsiTheme="majorHAnsi" w:cs="Times"/>
          <w:lang w:val="en-US"/>
        </w:rPr>
        <w:t xml:space="preserve"> of the process.</w:t>
      </w:r>
    </w:p>
    <w:p w:rsidR="0010496F" w:rsidRPr="00467C54" w:rsidRDefault="00024F81"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Focus group participants were al</w:t>
      </w:r>
      <w:r w:rsidR="00E2005C" w:rsidRPr="00467C54">
        <w:rPr>
          <w:rFonts w:asciiTheme="majorHAnsi" w:hAnsiTheme="majorHAnsi" w:cs="Times"/>
          <w:lang w:val="en-US"/>
        </w:rPr>
        <w:t>l</w:t>
      </w:r>
      <w:r w:rsidRPr="00467C54">
        <w:rPr>
          <w:rFonts w:asciiTheme="majorHAnsi" w:hAnsiTheme="majorHAnsi" w:cs="Times"/>
          <w:lang w:val="en-US"/>
        </w:rPr>
        <w:t xml:space="preserve"> v</w:t>
      </w:r>
      <w:r w:rsidR="0010496F" w:rsidRPr="00467C54">
        <w:rPr>
          <w:rFonts w:asciiTheme="majorHAnsi" w:hAnsiTheme="majorHAnsi" w:cs="Times"/>
          <w:lang w:val="en-US"/>
        </w:rPr>
        <w:t xml:space="preserve">ery positive </w:t>
      </w:r>
      <w:r w:rsidRPr="00467C54">
        <w:rPr>
          <w:rFonts w:asciiTheme="majorHAnsi" w:hAnsiTheme="majorHAnsi" w:cs="Times"/>
          <w:lang w:val="en-US"/>
        </w:rPr>
        <w:t>about the</w:t>
      </w:r>
      <w:r w:rsidR="0010496F" w:rsidRPr="00467C54">
        <w:rPr>
          <w:rFonts w:asciiTheme="majorHAnsi" w:hAnsiTheme="majorHAnsi" w:cs="Times"/>
          <w:lang w:val="en-US"/>
        </w:rPr>
        <w:t xml:space="preserve"> style and layout of questi</w:t>
      </w:r>
      <w:r w:rsidRPr="00467C54">
        <w:rPr>
          <w:rFonts w:asciiTheme="majorHAnsi" w:hAnsiTheme="majorHAnsi" w:cs="Times"/>
          <w:lang w:val="en-US"/>
        </w:rPr>
        <w:t xml:space="preserve">onnaire. </w:t>
      </w:r>
      <w:r w:rsidR="00E2005C" w:rsidRPr="00467C54">
        <w:rPr>
          <w:rFonts w:asciiTheme="majorHAnsi" w:hAnsiTheme="majorHAnsi" w:cs="Times"/>
          <w:lang w:val="en-US"/>
        </w:rPr>
        <w:t>They were particularly impressed with the short time it took, mainly in relation to comparable time-consuming questionnaires they had previously completed. D</w:t>
      </w:r>
      <w:r w:rsidRPr="00467C54">
        <w:rPr>
          <w:rFonts w:asciiTheme="majorHAnsi" w:hAnsiTheme="majorHAnsi" w:cs="Times"/>
          <w:lang w:val="en-US"/>
        </w:rPr>
        <w:t>espite one or two comments about reducing the scale the</w:t>
      </w:r>
      <w:r w:rsidR="0010496F" w:rsidRPr="00467C54">
        <w:rPr>
          <w:rFonts w:asciiTheme="majorHAnsi" w:hAnsiTheme="majorHAnsi" w:cs="Times"/>
          <w:lang w:val="en-US"/>
        </w:rPr>
        <w:t xml:space="preserve"> six point scale</w:t>
      </w:r>
      <w:r w:rsidRPr="00467C54">
        <w:rPr>
          <w:rFonts w:asciiTheme="majorHAnsi" w:hAnsiTheme="majorHAnsi" w:cs="Times"/>
          <w:lang w:val="en-US"/>
        </w:rPr>
        <w:t xml:space="preserve"> was broadly popular.</w:t>
      </w:r>
    </w:p>
    <w:p w:rsidR="0010496F" w:rsidRPr="00467C54" w:rsidRDefault="0010496F"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 xml:space="preserve">One or two IT issues </w:t>
      </w:r>
      <w:r w:rsidR="00024F81" w:rsidRPr="00467C54">
        <w:rPr>
          <w:rFonts w:asciiTheme="majorHAnsi" w:hAnsiTheme="majorHAnsi" w:cs="Times"/>
          <w:lang w:val="en-US"/>
        </w:rPr>
        <w:t xml:space="preserve">persisted </w:t>
      </w:r>
      <w:r w:rsidR="00E2005C" w:rsidRPr="00467C54">
        <w:rPr>
          <w:rFonts w:asciiTheme="majorHAnsi" w:hAnsiTheme="majorHAnsi" w:cs="Times"/>
          <w:lang w:val="en-US"/>
        </w:rPr>
        <w:t xml:space="preserve">with access. However there may be a perceived </w:t>
      </w:r>
      <w:r w:rsidR="00905E73" w:rsidRPr="00467C54">
        <w:rPr>
          <w:rFonts w:asciiTheme="majorHAnsi" w:hAnsiTheme="majorHAnsi" w:cs="Times"/>
          <w:lang w:val="en-US"/>
        </w:rPr>
        <w:t>advantage</w:t>
      </w:r>
      <w:r w:rsidR="00E2005C" w:rsidRPr="00467C54">
        <w:rPr>
          <w:rFonts w:asciiTheme="majorHAnsi" w:hAnsiTheme="majorHAnsi" w:cs="Times"/>
          <w:lang w:val="en-US"/>
        </w:rPr>
        <w:t xml:space="preserve"> in retaining a paper version as it mat assuage</w:t>
      </w:r>
      <w:r w:rsidRPr="00467C54">
        <w:rPr>
          <w:rFonts w:asciiTheme="majorHAnsi" w:hAnsiTheme="majorHAnsi" w:cs="Times"/>
          <w:lang w:val="en-US"/>
        </w:rPr>
        <w:t xml:space="preserve"> anxieties re</w:t>
      </w:r>
      <w:r w:rsidR="00EB25FC" w:rsidRPr="00467C54">
        <w:rPr>
          <w:rFonts w:asciiTheme="majorHAnsi" w:hAnsiTheme="majorHAnsi" w:cs="Times"/>
          <w:lang w:val="en-US"/>
        </w:rPr>
        <w:t>garding</w:t>
      </w:r>
      <w:r w:rsidRPr="00467C54">
        <w:rPr>
          <w:rFonts w:asciiTheme="majorHAnsi" w:hAnsiTheme="majorHAnsi" w:cs="Times"/>
          <w:lang w:val="en-US"/>
        </w:rPr>
        <w:t xml:space="preserve"> anonymity</w:t>
      </w:r>
    </w:p>
    <w:p w:rsidR="00024F81" w:rsidRPr="00467C54" w:rsidRDefault="0010496F"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 xml:space="preserve">A few semantic issues </w:t>
      </w:r>
      <w:r w:rsidR="00024F81" w:rsidRPr="00467C54">
        <w:rPr>
          <w:rFonts w:asciiTheme="majorHAnsi" w:hAnsiTheme="majorHAnsi" w:cs="Times"/>
          <w:lang w:val="en-US"/>
        </w:rPr>
        <w:t>were raised despite the provided definitions. For example some participants remained unclear as to what constituted ‘organisation’ or ‘sufficiently visible’.</w:t>
      </w:r>
    </w:p>
    <w:p w:rsidR="0010496F" w:rsidRPr="00467C54" w:rsidRDefault="0010496F"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 xml:space="preserve">Reverse items </w:t>
      </w:r>
      <w:r w:rsidR="00024F81" w:rsidRPr="00467C54">
        <w:rPr>
          <w:rFonts w:asciiTheme="majorHAnsi" w:hAnsiTheme="majorHAnsi" w:cs="Times"/>
          <w:lang w:val="en-US"/>
        </w:rPr>
        <w:t xml:space="preserve">were </w:t>
      </w:r>
      <w:r w:rsidRPr="00467C54">
        <w:rPr>
          <w:rFonts w:asciiTheme="majorHAnsi" w:hAnsiTheme="majorHAnsi" w:cs="Times"/>
          <w:lang w:val="en-US"/>
        </w:rPr>
        <w:t>spotted and</w:t>
      </w:r>
      <w:r w:rsidR="00EB25FC" w:rsidRPr="00467C54">
        <w:rPr>
          <w:rFonts w:asciiTheme="majorHAnsi" w:hAnsiTheme="majorHAnsi" w:cs="Times"/>
          <w:lang w:val="en-US"/>
        </w:rPr>
        <w:t xml:space="preserve"> some</w:t>
      </w:r>
      <w:r w:rsidRPr="00467C54">
        <w:rPr>
          <w:rFonts w:asciiTheme="majorHAnsi" w:hAnsiTheme="majorHAnsi" w:cs="Times"/>
          <w:lang w:val="en-US"/>
        </w:rPr>
        <w:t xml:space="preserve"> valued </w:t>
      </w:r>
      <w:r w:rsidR="00EB25FC" w:rsidRPr="00467C54">
        <w:rPr>
          <w:rFonts w:asciiTheme="majorHAnsi" w:hAnsiTheme="majorHAnsi" w:cs="Times"/>
          <w:lang w:val="en-US"/>
        </w:rPr>
        <w:t xml:space="preserve">them </w:t>
      </w:r>
      <w:r w:rsidRPr="00467C54">
        <w:rPr>
          <w:rFonts w:asciiTheme="majorHAnsi" w:hAnsiTheme="majorHAnsi" w:cs="Times"/>
          <w:lang w:val="en-US"/>
        </w:rPr>
        <w:t xml:space="preserve">for their </w:t>
      </w:r>
      <w:r w:rsidR="00024F81" w:rsidRPr="00467C54">
        <w:rPr>
          <w:rFonts w:asciiTheme="majorHAnsi" w:hAnsiTheme="majorHAnsi" w:cs="Times"/>
          <w:lang w:val="en-US"/>
        </w:rPr>
        <w:t>ability</w:t>
      </w:r>
      <w:r w:rsidRPr="00467C54">
        <w:rPr>
          <w:rFonts w:asciiTheme="majorHAnsi" w:hAnsiTheme="majorHAnsi" w:cs="Times"/>
          <w:lang w:val="en-US"/>
        </w:rPr>
        <w:t xml:space="preserve"> to stop people and make them think. </w:t>
      </w:r>
      <w:r w:rsidR="00EB25FC" w:rsidRPr="00467C54">
        <w:rPr>
          <w:rFonts w:asciiTheme="majorHAnsi" w:hAnsiTheme="majorHAnsi" w:cs="Times"/>
          <w:lang w:val="en-US"/>
        </w:rPr>
        <w:t>By contrast other</w:t>
      </w:r>
      <w:r w:rsidR="00024F81" w:rsidRPr="00467C54">
        <w:rPr>
          <w:rFonts w:asciiTheme="majorHAnsi" w:hAnsiTheme="majorHAnsi" w:cs="Times"/>
          <w:lang w:val="en-US"/>
        </w:rPr>
        <w:t xml:space="preserve"> participants</w:t>
      </w:r>
      <w:r w:rsidRPr="00467C54">
        <w:rPr>
          <w:rFonts w:asciiTheme="majorHAnsi" w:hAnsiTheme="majorHAnsi" w:cs="Times"/>
          <w:lang w:val="en-US"/>
        </w:rPr>
        <w:t xml:space="preserve"> suggested they were unnecessary</w:t>
      </w:r>
      <w:r w:rsidR="00024F81" w:rsidRPr="00467C54">
        <w:rPr>
          <w:rFonts w:asciiTheme="majorHAnsi" w:hAnsiTheme="majorHAnsi" w:cs="Times"/>
          <w:lang w:val="en-US"/>
        </w:rPr>
        <w:t xml:space="preserve"> as they introduced confusion.</w:t>
      </w:r>
    </w:p>
    <w:p w:rsidR="00024F81" w:rsidRPr="00467C54" w:rsidRDefault="00024F81" w:rsidP="005A0156">
      <w:pPr>
        <w:pStyle w:val="ListParagraph"/>
        <w:widowControl w:val="0"/>
        <w:numPr>
          <w:ilvl w:val="0"/>
          <w:numId w:val="33"/>
        </w:numPr>
        <w:autoSpaceDE w:val="0"/>
        <w:autoSpaceDN w:val="0"/>
        <w:adjustRightInd w:val="0"/>
        <w:spacing w:after="240"/>
        <w:rPr>
          <w:rFonts w:asciiTheme="majorHAnsi" w:hAnsiTheme="majorHAnsi" w:cs="Arial"/>
          <w:color w:val="000000"/>
        </w:rPr>
      </w:pPr>
      <w:r w:rsidRPr="00467C54">
        <w:rPr>
          <w:rFonts w:asciiTheme="majorHAnsi" w:hAnsiTheme="majorHAnsi" w:cs="Arial"/>
          <w:color w:val="000000"/>
        </w:rPr>
        <w:t>One participant suggested putting a timescale on the questionnaire (eg ‘in the last 12 months…) and this fits with PROMs literature</w:t>
      </w:r>
      <w:r w:rsidR="00EB25FC" w:rsidRPr="00467C54">
        <w:rPr>
          <w:rFonts w:asciiTheme="majorHAnsi" w:hAnsiTheme="majorHAnsi" w:cs="Arial"/>
          <w:color w:val="000000"/>
        </w:rPr>
        <w:t xml:space="preserve"> on specifying timescale</w:t>
      </w:r>
      <w:r w:rsidR="006F6711" w:rsidRPr="00467C54">
        <w:rPr>
          <w:rFonts w:asciiTheme="majorHAnsi" w:hAnsiTheme="majorHAnsi" w:cs="Arial"/>
          <w:color w:val="000000"/>
        </w:rPr>
        <w:fldChar w:fldCharType="begin" w:fldLock="1"/>
      </w:r>
      <w:r w:rsidR="00EB25FC" w:rsidRPr="00467C54">
        <w:rPr>
          <w:rFonts w:asciiTheme="majorHAnsi" w:hAnsiTheme="majorHAnsi" w:cs="Arial"/>
          <w:color w:val="000000"/>
        </w:rPr>
        <w:instrText>ADDIN CSL_CITATION { "citationItems" : [ { "id" : "ITEM-1", "itemData" : { "abstract" : "Use of item response theory (IRT) and, subsequently, computerized adaptive testing (CAT), under the umbrella of the NIH-PROMIS initiative (National Institutes of Health-Patient-Reported Outcomes Measurement Information System), to bring strong new assets to the development of more sensitive, more widely applicable, and more efficiently administered patient-reported outcome (PRO) instruments. We present data on current progress in 3 crucial areas: floor and ceiling effects, responsiveness to change, and interactive computer-based administration over the Internet.", "author" : [ { "family" : "Fries", "given" : "James" }, { "family" : "Rose", "given" : "Matthias" }, { "family" : "Krishnan", "given" : "Eswar" } ], "container-title" : "The Journal of rheumatology", "id" : "ITEM-1", "issue" : "8", "issued" : { "date-parts" : [ [ "2011" ] ] }, "note" : "&lt;m:note/&gt;", "page" : "1759-1764", "title" : "The PROMIS of better outcome assessment: responsiveness, floor and ceiling effects, and Internet administration.", "type" : "article-journal", "volume" : "38" }, "uris" : [ "http://www.mendeley.com/documents/?uuid=926597aa-723c-46e2-9132-4f6c753cb68f" ] } ], "mendeley" : { "previouslyFormattedCitation" : "&lt;sup&gt;26&lt;/sup&gt;" }, "properties" : { "noteIndex" : 0 }, "schema" : "https://github.com/citation-style-language/schema/raw/master/csl-citation.json" }</w:instrText>
      </w:r>
      <w:r w:rsidR="006F6711" w:rsidRPr="00467C54">
        <w:rPr>
          <w:rFonts w:asciiTheme="majorHAnsi" w:hAnsiTheme="majorHAnsi" w:cs="Arial"/>
          <w:color w:val="000000"/>
        </w:rPr>
        <w:fldChar w:fldCharType="separate"/>
      </w:r>
      <w:r w:rsidR="00EB25FC" w:rsidRPr="00467C54">
        <w:rPr>
          <w:rFonts w:asciiTheme="majorHAnsi" w:hAnsiTheme="majorHAnsi" w:cs="Arial"/>
          <w:noProof/>
          <w:color w:val="000000"/>
          <w:vertAlign w:val="superscript"/>
        </w:rPr>
        <w:t>26</w:t>
      </w:r>
      <w:r w:rsidR="006F6711" w:rsidRPr="00467C54">
        <w:rPr>
          <w:rFonts w:asciiTheme="majorHAnsi" w:hAnsiTheme="majorHAnsi" w:cs="Arial"/>
          <w:color w:val="000000"/>
        </w:rPr>
        <w:fldChar w:fldCharType="end"/>
      </w:r>
    </w:p>
    <w:p w:rsidR="00E7066C" w:rsidRPr="00467C54" w:rsidRDefault="00024F81" w:rsidP="005A0156">
      <w:pPr>
        <w:pStyle w:val="ListParagraph"/>
        <w:widowControl w:val="0"/>
        <w:numPr>
          <w:ilvl w:val="0"/>
          <w:numId w:val="33"/>
        </w:numPr>
        <w:autoSpaceDE w:val="0"/>
        <w:autoSpaceDN w:val="0"/>
        <w:adjustRightInd w:val="0"/>
        <w:spacing w:after="240"/>
        <w:rPr>
          <w:rFonts w:asciiTheme="majorHAnsi" w:hAnsiTheme="majorHAnsi" w:cs="Arial"/>
          <w:i/>
          <w:color w:val="000000"/>
        </w:rPr>
      </w:pPr>
      <w:r w:rsidRPr="00467C54">
        <w:rPr>
          <w:rFonts w:asciiTheme="majorHAnsi" w:hAnsiTheme="majorHAnsi" w:cs="Arial"/>
          <w:color w:val="000000"/>
        </w:rPr>
        <w:t>There was also consensus that the scale in item 29 was the wrong way round and should be worded positively</w:t>
      </w:r>
      <w:r w:rsidR="00EB25FC" w:rsidRPr="00467C54">
        <w:rPr>
          <w:rFonts w:asciiTheme="majorHAnsi" w:hAnsiTheme="majorHAnsi" w:cs="Arial"/>
          <w:color w:val="000000"/>
        </w:rPr>
        <w:t>. At the moment it goes from 10 – 0. It should be the other way round</w:t>
      </w:r>
      <w:r w:rsidRPr="00467C54">
        <w:rPr>
          <w:rFonts w:asciiTheme="majorHAnsi" w:hAnsiTheme="majorHAnsi" w:cs="Arial"/>
          <w:color w:val="000000"/>
        </w:rPr>
        <w:t xml:space="preserve"> </w:t>
      </w:r>
    </w:p>
    <w:p w:rsidR="00E7066C" w:rsidRPr="00467C54" w:rsidRDefault="00024F81" w:rsidP="005A0156">
      <w:pPr>
        <w:pStyle w:val="ListParagraph"/>
        <w:widowControl w:val="0"/>
        <w:numPr>
          <w:ilvl w:val="0"/>
          <w:numId w:val="33"/>
        </w:numPr>
        <w:autoSpaceDE w:val="0"/>
        <w:autoSpaceDN w:val="0"/>
        <w:adjustRightInd w:val="0"/>
        <w:spacing w:after="240"/>
        <w:rPr>
          <w:rFonts w:asciiTheme="majorHAnsi" w:hAnsiTheme="majorHAnsi" w:cs="Times"/>
          <w:lang w:val="en-US"/>
        </w:rPr>
      </w:pPr>
      <w:r w:rsidRPr="00467C54">
        <w:rPr>
          <w:rFonts w:asciiTheme="majorHAnsi" w:hAnsiTheme="majorHAnsi" w:cs="Times"/>
          <w:lang w:val="en-US"/>
        </w:rPr>
        <w:t>Finally there was a very strong message that these results</w:t>
      </w:r>
      <w:r w:rsidR="00E7066C" w:rsidRPr="00467C54">
        <w:rPr>
          <w:rFonts w:asciiTheme="majorHAnsi" w:hAnsiTheme="majorHAnsi" w:cs="Times"/>
          <w:lang w:val="en-US"/>
        </w:rPr>
        <w:t xml:space="preserve"> need to </w:t>
      </w:r>
      <w:r w:rsidRPr="00467C54">
        <w:rPr>
          <w:rFonts w:asciiTheme="majorHAnsi" w:hAnsiTheme="majorHAnsi" w:cs="Times"/>
          <w:lang w:val="en-US"/>
        </w:rPr>
        <w:t>be published and fed back to participants for action.</w:t>
      </w:r>
      <w:r w:rsidR="00E7066C" w:rsidRPr="00467C54">
        <w:rPr>
          <w:rFonts w:asciiTheme="majorHAnsi" w:hAnsiTheme="majorHAnsi" w:cs="Times"/>
          <w:lang w:val="en-US"/>
        </w:rPr>
        <w:t xml:space="preserve"> Otherwise </w:t>
      </w:r>
      <w:r w:rsidR="00EB25FC" w:rsidRPr="00467C54">
        <w:rPr>
          <w:rFonts w:asciiTheme="majorHAnsi" w:hAnsiTheme="majorHAnsi" w:cs="Times"/>
          <w:lang w:val="en-US"/>
        </w:rPr>
        <w:t>the NHSEEI</w:t>
      </w:r>
      <w:r w:rsidRPr="00467C54">
        <w:rPr>
          <w:rFonts w:asciiTheme="majorHAnsi" w:hAnsiTheme="majorHAnsi" w:cs="Times"/>
          <w:lang w:val="en-US"/>
        </w:rPr>
        <w:t xml:space="preserve"> will </w:t>
      </w:r>
      <w:r w:rsidR="00EB25FC" w:rsidRPr="00467C54">
        <w:rPr>
          <w:rFonts w:asciiTheme="majorHAnsi" w:hAnsiTheme="majorHAnsi" w:cs="Times"/>
          <w:lang w:val="en-US"/>
        </w:rPr>
        <w:t xml:space="preserve">come to </w:t>
      </w:r>
      <w:r w:rsidRPr="00467C54">
        <w:rPr>
          <w:rFonts w:asciiTheme="majorHAnsi" w:hAnsiTheme="majorHAnsi" w:cs="Times"/>
          <w:lang w:val="en-US"/>
        </w:rPr>
        <w:t>be seen as a ‘</w:t>
      </w:r>
      <w:r w:rsidR="00E7066C" w:rsidRPr="00467C54">
        <w:rPr>
          <w:rFonts w:asciiTheme="majorHAnsi" w:hAnsiTheme="majorHAnsi" w:cs="Times"/>
          <w:lang w:val="en-US"/>
        </w:rPr>
        <w:t>paper exercise</w:t>
      </w:r>
      <w:r w:rsidRPr="00467C54">
        <w:rPr>
          <w:rFonts w:asciiTheme="majorHAnsi" w:hAnsiTheme="majorHAnsi" w:cs="Times"/>
          <w:lang w:val="en-US"/>
        </w:rPr>
        <w:t>’ and</w:t>
      </w:r>
      <w:r w:rsidR="00E7066C" w:rsidRPr="00467C54">
        <w:rPr>
          <w:rFonts w:asciiTheme="majorHAnsi" w:hAnsiTheme="majorHAnsi" w:cs="Times"/>
          <w:lang w:val="en-US"/>
        </w:rPr>
        <w:t xml:space="preserve"> disengagement </w:t>
      </w:r>
      <w:r w:rsidRPr="00467C54">
        <w:rPr>
          <w:rFonts w:asciiTheme="majorHAnsi" w:hAnsiTheme="majorHAnsi" w:cs="Times"/>
          <w:lang w:val="en-US"/>
        </w:rPr>
        <w:t>will ensue.</w:t>
      </w:r>
    </w:p>
    <w:p w:rsidR="0006696D" w:rsidRPr="00467C54" w:rsidRDefault="0006696D" w:rsidP="005A0156">
      <w:pPr>
        <w:rPr>
          <w:rFonts w:asciiTheme="majorHAnsi" w:hAnsiTheme="majorHAnsi"/>
          <w:lang w:eastAsia="en-GB"/>
        </w:rPr>
      </w:pPr>
      <w:r w:rsidRPr="00467C54">
        <w:rPr>
          <w:rFonts w:asciiTheme="majorHAnsi" w:hAnsiTheme="majorHAnsi"/>
          <w:lang w:eastAsia="en-GB"/>
        </w:rPr>
        <w:t xml:space="preserve">In conclusion then, the </w:t>
      </w:r>
      <w:r w:rsidR="001B0018" w:rsidRPr="00467C54">
        <w:rPr>
          <w:rFonts w:asciiTheme="majorHAnsi" w:hAnsiTheme="majorHAnsi"/>
          <w:lang w:eastAsia="en-GB"/>
        </w:rPr>
        <w:t>NHSEEI</w:t>
      </w:r>
      <w:r w:rsidRPr="00467C54">
        <w:rPr>
          <w:rFonts w:asciiTheme="majorHAnsi" w:hAnsiTheme="majorHAnsi"/>
          <w:lang w:eastAsia="en-GB"/>
        </w:rPr>
        <w:t xml:space="preserve"> is a robust measure of staff engagement, meaningful and important to staff. </w:t>
      </w:r>
      <w:r w:rsidR="00EB25FC" w:rsidRPr="00467C54">
        <w:rPr>
          <w:rFonts w:asciiTheme="majorHAnsi" w:hAnsiTheme="majorHAnsi"/>
          <w:lang w:eastAsia="en-GB"/>
        </w:rPr>
        <w:t xml:space="preserve">Its coproduction with the staff has facilitated a theoretical credibility which in turn has generated psychometric validity and positive practical consequences. </w:t>
      </w:r>
      <w:r w:rsidRPr="00467C54">
        <w:rPr>
          <w:rFonts w:asciiTheme="majorHAnsi" w:hAnsiTheme="majorHAnsi"/>
          <w:lang w:eastAsia="en-GB"/>
        </w:rPr>
        <w:t xml:space="preserve">The </w:t>
      </w:r>
      <w:r w:rsidR="00EB25FC" w:rsidRPr="00467C54">
        <w:rPr>
          <w:rFonts w:asciiTheme="majorHAnsi" w:hAnsiTheme="majorHAnsi"/>
          <w:lang w:eastAsia="en-GB"/>
        </w:rPr>
        <w:t xml:space="preserve">outstanding </w:t>
      </w:r>
      <w:r w:rsidRPr="00467C54">
        <w:rPr>
          <w:rFonts w:asciiTheme="majorHAnsi" w:hAnsiTheme="majorHAnsi"/>
          <w:lang w:eastAsia="en-GB"/>
        </w:rPr>
        <w:t xml:space="preserve">response rate suggests that there is a genuine desire for staff voices to be heard and that </w:t>
      </w:r>
      <w:r w:rsidR="006823E1" w:rsidRPr="00467C54">
        <w:rPr>
          <w:rFonts w:asciiTheme="majorHAnsi" w:hAnsiTheme="majorHAnsi"/>
          <w:lang w:eastAsia="en-GB"/>
        </w:rPr>
        <w:t xml:space="preserve">they have endorsed this measure </w:t>
      </w:r>
      <w:r w:rsidR="00EB25FC" w:rsidRPr="00467C54">
        <w:rPr>
          <w:rFonts w:asciiTheme="majorHAnsi" w:hAnsiTheme="majorHAnsi"/>
          <w:lang w:eastAsia="en-GB"/>
        </w:rPr>
        <w:t>as a means to that end. In psychometric terms t</w:t>
      </w:r>
      <w:r w:rsidRPr="00467C54">
        <w:rPr>
          <w:rFonts w:asciiTheme="majorHAnsi" w:hAnsiTheme="majorHAnsi"/>
          <w:lang w:eastAsia="en-GB"/>
        </w:rPr>
        <w:t xml:space="preserve">he Rasch analysis showed that most </w:t>
      </w:r>
      <w:r w:rsidR="006823E1" w:rsidRPr="00467C54">
        <w:rPr>
          <w:rFonts w:asciiTheme="majorHAnsi" w:hAnsiTheme="majorHAnsi"/>
          <w:lang w:eastAsia="en-GB"/>
        </w:rPr>
        <w:t xml:space="preserve">of the 28 </w:t>
      </w:r>
      <w:r w:rsidRPr="00467C54">
        <w:rPr>
          <w:rFonts w:asciiTheme="majorHAnsi" w:hAnsiTheme="majorHAnsi"/>
          <w:lang w:eastAsia="en-GB"/>
        </w:rPr>
        <w:t>items fit with the model of staff engagement generated by the staff and project team. With the exception of the reversed items the factor analysis then accou</w:t>
      </w:r>
      <w:r w:rsidR="006823E1" w:rsidRPr="00467C54">
        <w:rPr>
          <w:rFonts w:asciiTheme="majorHAnsi" w:hAnsiTheme="majorHAnsi"/>
          <w:lang w:eastAsia="en-GB"/>
        </w:rPr>
        <w:t>nted for those items that did not</w:t>
      </w:r>
      <w:r w:rsidRPr="00467C54">
        <w:rPr>
          <w:rFonts w:asciiTheme="majorHAnsi" w:hAnsiTheme="majorHAnsi"/>
          <w:lang w:eastAsia="en-GB"/>
        </w:rPr>
        <w:t xml:space="preserve"> appear to fit so well. This</w:t>
      </w:r>
      <w:r w:rsidR="006823E1" w:rsidRPr="00467C54">
        <w:rPr>
          <w:rFonts w:asciiTheme="majorHAnsi" w:hAnsiTheme="majorHAnsi"/>
          <w:lang w:eastAsia="en-GB"/>
        </w:rPr>
        <w:t xml:space="preserve"> means that the NHSEEI</w:t>
      </w:r>
      <w:r w:rsidRPr="00467C54">
        <w:rPr>
          <w:rFonts w:asciiTheme="majorHAnsi" w:hAnsiTheme="majorHAnsi"/>
          <w:lang w:eastAsia="en-GB"/>
        </w:rPr>
        <w:t xml:space="preserve"> is a valid and reliable measure of staff engagement consistent with its scope and purpose</w:t>
      </w:r>
      <w:r w:rsidR="006823E1" w:rsidRPr="00467C54">
        <w:rPr>
          <w:rFonts w:asciiTheme="majorHAnsi" w:hAnsiTheme="majorHAnsi"/>
          <w:lang w:eastAsia="en-GB"/>
        </w:rPr>
        <w:t>. We propose the following recommendations</w:t>
      </w:r>
      <w:r w:rsidR="002B6316" w:rsidRPr="00467C54">
        <w:rPr>
          <w:rFonts w:asciiTheme="majorHAnsi" w:hAnsiTheme="majorHAnsi"/>
          <w:lang w:eastAsia="en-GB"/>
        </w:rPr>
        <w:t>.</w:t>
      </w:r>
    </w:p>
    <w:p w:rsidR="002D006B" w:rsidRPr="00467C54" w:rsidRDefault="002D006B" w:rsidP="002D006B">
      <w:pPr>
        <w:rPr>
          <w:rFonts w:asciiTheme="majorHAnsi" w:hAnsiTheme="majorHAnsi"/>
          <w:lang w:eastAsia="en-GB"/>
        </w:rPr>
      </w:pPr>
    </w:p>
    <w:p w:rsidR="00187081" w:rsidRPr="00467C54" w:rsidRDefault="00187081" w:rsidP="005A0156">
      <w:pPr>
        <w:pStyle w:val="Heading2"/>
        <w:rPr>
          <w:rFonts w:cs="Times"/>
          <w:lang w:val="en-US"/>
        </w:rPr>
      </w:pPr>
      <w:bookmarkStart w:id="95" w:name="_Toc351201900"/>
      <w:r w:rsidRPr="00467C54">
        <w:rPr>
          <w:lang w:eastAsia="en-GB"/>
        </w:rPr>
        <w:t>Recommendations</w:t>
      </w:r>
      <w:bookmarkEnd w:id="95"/>
    </w:p>
    <w:p w:rsidR="00E378B5" w:rsidRPr="00467C54" w:rsidRDefault="00E378B5" w:rsidP="005A0156">
      <w:pPr>
        <w:rPr>
          <w:rFonts w:asciiTheme="majorHAnsi" w:hAnsiTheme="majorHAnsi" w:cstheme="minorHAnsi"/>
        </w:rPr>
      </w:pPr>
    </w:p>
    <w:p w:rsidR="00EB25FC" w:rsidRPr="00467C54" w:rsidRDefault="00EB25FC" w:rsidP="00EB25FC">
      <w:pPr>
        <w:rPr>
          <w:rFonts w:asciiTheme="majorHAnsi" w:hAnsiTheme="majorHAnsi" w:cstheme="minorHAnsi"/>
        </w:rPr>
      </w:pPr>
      <w:r w:rsidRPr="00467C54">
        <w:rPr>
          <w:rFonts w:asciiTheme="majorHAnsi" w:hAnsiTheme="majorHAnsi" w:cstheme="minorHAnsi"/>
        </w:rPr>
        <w:t>Remove the reversal of items 4, 16 and 22, otherwise leave the 28 items as they are. Add a timescale to specify the response period.</w:t>
      </w:r>
    </w:p>
    <w:p w:rsidR="00EB25FC" w:rsidRPr="00467C54" w:rsidRDefault="00EB25FC" w:rsidP="00EB25FC">
      <w:pPr>
        <w:rPr>
          <w:rFonts w:asciiTheme="majorHAnsi" w:eastAsia="Times New Roman" w:hAnsiTheme="majorHAnsi" w:cs="Calibri"/>
          <w:color w:val="000000"/>
          <w:lang w:eastAsia="en-GB"/>
        </w:rPr>
      </w:pPr>
    </w:p>
    <w:p w:rsidR="00EB25FC" w:rsidRPr="00467C54" w:rsidRDefault="00EB25FC" w:rsidP="00EB25FC">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Keep item 29 but reverse the scale to go from 0 – 10 instead of 10 – 0. Responses to question 29 should be utilised as a snapshot for crosschecking levels of staff engagement and ascertaining response logic. They should not be used as a standalone metric. </w:t>
      </w:r>
    </w:p>
    <w:p w:rsidR="00EB25FC" w:rsidRPr="00467C54" w:rsidRDefault="00EB25FC" w:rsidP="00EB25FC">
      <w:pPr>
        <w:rPr>
          <w:rFonts w:asciiTheme="majorHAnsi" w:eastAsia="Times New Roman" w:hAnsiTheme="majorHAnsi" w:cs="Calibri"/>
          <w:color w:val="000000"/>
          <w:lang w:eastAsia="en-GB"/>
        </w:rPr>
      </w:pPr>
    </w:p>
    <w:p w:rsidR="00EB25FC" w:rsidRPr="00467C54" w:rsidRDefault="00EB25FC" w:rsidP="00EB25FC">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Keep sample sizes comparably high in subsequent iterations to maintain the level of credibility achieved here.</w:t>
      </w:r>
    </w:p>
    <w:p w:rsidR="00EB25FC" w:rsidRPr="00467C54" w:rsidRDefault="00EB25FC" w:rsidP="00EB25FC">
      <w:pPr>
        <w:rPr>
          <w:rFonts w:asciiTheme="majorHAnsi" w:eastAsia="Times New Roman" w:hAnsiTheme="majorHAnsi" w:cs="Calibri"/>
          <w:color w:val="000000"/>
          <w:lang w:eastAsia="en-GB"/>
        </w:rPr>
      </w:pPr>
    </w:p>
    <w:p w:rsidR="00EB267E" w:rsidRPr="00467C54" w:rsidRDefault="00EB267E" w:rsidP="00EB267E">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Feedback results to staff. Their engagement in the process of scale development has enhanced credibility and generalisability. In order to maintain this validity staff must remain engaged in the process of dissemination, feedback and action.</w:t>
      </w:r>
    </w:p>
    <w:p w:rsidR="00EB25FC" w:rsidRPr="00467C54" w:rsidRDefault="00EB25FC" w:rsidP="00EB25FC">
      <w:pPr>
        <w:rPr>
          <w:rFonts w:asciiTheme="majorHAnsi" w:eastAsia="Times New Roman" w:hAnsiTheme="majorHAnsi" w:cs="Calibri"/>
          <w:color w:val="000000"/>
          <w:lang w:eastAsia="en-GB"/>
        </w:rPr>
      </w:pPr>
    </w:p>
    <w:p w:rsidR="00EB25FC" w:rsidRPr="00467C54" w:rsidRDefault="00EB25FC" w:rsidP="00EB25FC">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Test NHSEEI nationally. Rollout the NHSEEI simultaneously with any proposed continuation of previous staff survey to: </w:t>
      </w:r>
    </w:p>
    <w:p w:rsidR="00EB25FC" w:rsidRPr="00467C54" w:rsidRDefault="00EB25FC" w:rsidP="00EB25FC">
      <w:pPr>
        <w:rPr>
          <w:rFonts w:asciiTheme="majorHAnsi" w:eastAsia="Times New Roman" w:hAnsiTheme="majorHAnsi" w:cs="Calibri"/>
          <w:color w:val="000000"/>
          <w:lang w:eastAsia="en-GB"/>
        </w:rPr>
      </w:pPr>
    </w:p>
    <w:p w:rsidR="00EB25FC" w:rsidRPr="00467C54" w:rsidRDefault="00EB25FC" w:rsidP="00EB25FC">
      <w:pPr>
        <w:pStyle w:val="ListParagraph"/>
        <w:numPr>
          <w:ilvl w:val="0"/>
          <w:numId w:val="28"/>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 xml:space="preserve">establish construct validity between the two measures and to </w:t>
      </w:r>
    </w:p>
    <w:p w:rsidR="00C65DD5" w:rsidRPr="00467C54" w:rsidRDefault="00EB25FC" w:rsidP="005A0156">
      <w:pPr>
        <w:pStyle w:val="ListParagraph"/>
        <w:numPr>
          <w:ilvl w:val="0"/>
          <w:numId w:val="28"/>
        </w:num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ascertain which measure staff prefer.</w:t>
      </w:r>
    </w:p>
    <w:p w:rsidR="009444D3" w:rsidRPr="00467C54" w:rsidRDefault="009444D3" w:rsidP="005A0156">
      <w:pPr>
        <w:rPr>
          <w:rFonts w:asciiTheme="majorHAnsi" w:eastAsia="Times New Roman" w:hAnsiTheme="majorHAnsi" w:cs="Calibri"/>
          <w:color w:val="000000"/>
          <w:lang w:eastAsia="en-GB"/>
        </w:rPr>
      </w:pPr>
    </w:p>
    <w:p w:rsidR="00B70676" w:rsidRPr="00467C54" w:rsidRDefault="00B70676"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If you need to discuss any part of this report we would be delighted to hear from you</w:t>
      </w:r>
    </w:p>
    <w:p w:rsidR="00B70676" w:rsidRPr="00467C54" w:rsidRDefault="00B70676" w:rsidP="005A0156">
      <w:pPr>
        <w:rPr>
          <w:rFonts w:asciiTheme="majorHAnsi" w:eastAsia="Times New Roman" w:hAnsiTheme="majorHAnsi" w:cs="Calibri"/>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21"/>
        <w:gridCol w:w="4621"/>
      </w:tblGrid>
      <w:tr w:rsidR="006E01B6" w:rsidRPr="00467C54" w:rsidTr="006E01B6">
        <w:tc>
          <w:tcPr>
            <w:tcW w:w="4621" w:type="dxa"/>
            <w:shd w:val="clear" w:color="auto" w:fill="FFFFFF" w:themeFill="background1"/>
          </w:tcPr>
          <w:p w:rsidR="006E01B6" w:rsidRPr="00467C54" w:rsidRDefault="006E01B6"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Dr Austyn Snowden</w:t>
            </w:r>
          </w:p>
          <w:p w:rsidR="00EB25FC" w:rsidRPr="00467C54" w:rsidRDefault="00EB25FC"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Reader in Mental Health</w:t>
            </w:r>
          </w:p>
        </w:tc>
        <w:tc>
          <w:tcPr>
            <w:tcW w:w="4621" w:type="dxa"/>
            <w:shd w:val="clear" w:color="auto" w:fill="FFFFFF" w:themeFill="background1"/>
          </w:tcPr>
          <w:p w:rsidR="006E01B6" w:rsidRPr="00467C54" w:rsidRDefault="00CD3667"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Dr Ewan M</w:t>
            </w:r>
            <w:r w:rsidR="006E01B6" w:rsidRPr="00467C54">
              <w:rPr>
                <w:rFonts w:asciiTheme="majorHAnsi" w:eastAsia="Times New Roman" w:hAnsiTheme="majorHAnsi" w:cs="Calibri"/>
                <w:color w:val="000000"/>
                <w:lang w:eastAsia="en-GB"/>
              </w:rPr>
              <w:t>acArthur</w:t>
            </w:r>
          </w:p>
          <w:p w:rsidR="00EB25FC" w:rsidRPr="00467C54" w:rsidRDefault="00EB25FC" w:rsidP="005A0156">
            <w:pPr>
              <w:rPr>
                <w:rFonts w:asciiTheme="majorHAnsi" w:eastAsia="Times New Roman" w:hAnsiTheme="majorHAnsi" w:cs="Calibri"/>
                <w:color w:val="000000"/>
                <w:lang w:eastAsia="en-GB"/>
              </w:rPr>
            </w:pPr>
            <w:r w:rsidRPr="00467C54">
              <w:rPr>
                <w:rFonts w:asciiTheme="majorHAnsi" w:eastAsia="Times New Roman" w:hAnsiTheme="majorHAnsi" w:cs="Calibri"/>
                <w:color w:val="000000"/>
                <w:lang w:eastAsia="en-GB"/>
              </w:rPr>
              <w:t>Senior Lecturer in Mathematics</w:t>
            </w:r>
          </w:p>
        </w:tc>
      </w:tr>
      <w:tr w:rsidR="006E01B6" w:rsidRPr="00467C54" w:rsidTr="006E01B6">
        <w:tc>
          <w:tcPr>
            <w:tcW w:w="4621" w:type="dxa"/>
            <w:shd w:val="clear" w:color="auto" w:fill="FFFFFF" w:themeFill="background1"/>
          </w:tcPr>
          <w:p w:rsidR="006E01B6" w:rsidRPr="00467C54" w:rsidRDefault="006E01B6" w:rsidP="005A0156">
            <w:pPr>
              <w:rPr>
                <w:rFonts w:asciiTheme="majorHAnsi" w:eastAsia="Times New Roman" w:hAnsiTheme="majorHAnsi" w:cs="Calibri"/>
                <w:color w:val="000000"/>
                <w:lang w:eastAsia="en-GB"/>
              </w:rPr>
            </w:pPr>
            <w:r w:rsidRPr="00467C54">
              <w:rPr>
                <w:rFonts w:asciiTheme="majorHAnsi" w:eastAsia="Times New Roman" w:hAnsiTheme="majorHAnsi" w:cs="Calibri"/>
                <w:noProof/>
                <w:color w:val="000000"/>
                <w:lang w:eastAsia="en-GB"/>
              </w:rPr>
              <w:drawing>
                <wp:inline distT="0" distB="0" distL="0" distR="0">
                  <wp:extent cx="2352675" cy="714375"/>
                  <wp:effectExtent l="19050" t="0" r="9525" b="0"/>
                  <wp:docPr id="3" name="Picture 2" descr="austyn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yn signature.bmp"/>
                          <pic:cNvPicPr/>
                        </pic:nvPicPr>
                        <pic:blipFill>
                          <a:blip r:embed="rId29" cstate="print"/>
                          <a:stretch>
                            <a:fillRect/>
                          </a:stretch>
                        </pic:blipFill>
                        <pic:spPr>
                          <a:xfrm>
                            <a:off x="0" y="0"/>
                            <a:ext cx="2353963" cy="714766"/>
                          </a:xfrm>
                          <a:prstGeom prst="rect">
                            <a:avLst/>
                          </a:prstGeom>
                        </pic:spPr>
                      </pic:pic>
                    </a:graphicData>
                  </a:graphic>
                </wp:inline>
              </w:drawing>
            </w:r>
          </w:p>
        </w:tc>
        <w:tc>
          <w:tcPr>
            <w:tcW w:w="4621" w:type="dxa"/>
            <w:shd w:val="clear" w:color="auto" w:fill="FFFFFF" w:themeFill="background1"/>
          </w:tcPr>
          <w:p w:rsidR="006E01B6" w:rsidRPr="00467C54" w:rsidRDefault="006E01B6" w:rsidP="005A0156">
            <w:pPr>
              <w:rPr>
                <w:rFonts w:asciiTheme="majorHAnsi" w:eastAsia="Times New Roman" w:hAnsiTheme="majorHAnsi" w:cs="Calibri"/>
                <w:color w:val="000000"/>
                <w:lang w:eastAsia="en-GB"/>
              </w:rPr>
            </w:pPr>
            <w:r w:rsidRPr="00467C54">
              <w:rPr>
                <w:rFonts w:asciiTheme="majorHAnsi" w:hAnsiTheme="majorHAnsi"/>
                <w:noProof/>
                <w:lang w:eastAsia="en-GB"/>
              </w:rPr>
              <w:drawing>
                <wp:inline distT="0" distB="0" distL="0" distR="0">
                  <wp:extent cx="2743200" cy="647700"/>
                  <wp:effectExtent l="19050" t="0" r="0" b="0"/>
                  <wp:docPr id="7" name="Picture 1" descr="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
                          <pic:cNvPicPr>
                            <a:picLocks noChangeAspect="1" noChangeArrowheads="1"/>
                          </pic:cNvPicPr>
                        </pic:nvPicPr>
                        <pic:blipFill>
                          <a:blip r:embed="rId30" r:link="rId31" cstate="print"/>
                          <a:srcRect/>
                          <a:stretch>
                            <a:fillRect/>
                          </a:stretch>
                        </pic:blipFill>
                        <pic:spPr bwMode="auto">
                          <a:xfrm>
                            <a:off x="0" y="0"/>
                            <a:ext cx="2743200" cy="647700"/>
                          </a:xfrm>
                          <a:prstGeom prst="rect">
                            <a:avLst/>
                          </a:prstGeom>
                          <a:noFill/>
                          <a:ln w="9525">
                            <a:noFill/>
                            <a:miter lim="800000"/>
                            <a:headEnd/>
                            <a:tailEnd/>
                          </a:ln>
                        </pic:spPr>
                      </pic:pic>
                    </a:graphicData>
                  </a:graphic>
                </wp:inline>
              </w:drawing>
            </w:r>
          </w:p>
        </w:tc>
      </w:tr>
    </w:tbl>
    <w:p w:rsidR="008D3840" w:rsidRPr="00467C54" w:rsidRDefault="00E57DAA" w:rsidP="005A0156">
      <w:pPr>
        <w:pStyle w:val="Heading2"/>
        <w:rPr>
          <w:lang w:eastAsia="en-GB"/>
        </w:rPr>
      </w:pPr>
      <w:bookmarkStart w:id="96" w:name="_Toc351201901"/>
      <w:r w:rsidRPr="00467C54">
        <w:rPr>
          <w:lang w:eastAsia="en-GB"/>
        </w:rPr>
        <w:t>References</w:t>
      </w:r>
      <w:bookmarkEnd w:id="96"/>
    </w:p>
    <w:p w:rsidR="00EB25FC" w:rsidRPr="00467C54" w:rsidRDefault="006F6711">
      <w:pPr>
        <w:pStyle w:val="NormalWeb"/>
        <w:ind w:left="640" w:hanging="640"/>
        <w:divId w:val="1621299888"/>
        <w:rPr>
          <w:rFonts w:asciiTheme="majorHAnsi" w:hAnsiTheme="majorHAnsi" w:cs="Calibri"/>
          <w:sz w:val="18"/>
          <w:szCs w:val="18"/>
        </w:rPr>
      </w:pPr>
      <w:r w:rsidRPr="00467C54">
        <w:rPr>
          <w:rFonts w:asciiTheme="majorHAnsi" w:eastAsia="Times New Roman" w:hAnsiTheme="majorHAnsi" w:cs="Calibri"/>
          <w:color w:val="000000"/>
          <w:sz w:val="18"/>
          <w:szCs w:val="18"/>
        </w:rPr>
        <w:fldChar w:fldCharType="begin" w:fldLock="1"/>
      </w:r>
      <w:r w:rsidR="008D3840" w:rsidRPr="00467C54">
        <w:rPr>
          <w:rFonts w:asciiTheme="majorHAnsi" w:eastAsia="Times New Roman" w:hAnsiTheme="majorHAnsi" w:cs="Calibri"/>
          <w:color w:val="000000"/>
          <w:sz w:val="18"/>
          <w:szCs w:val="18"/>
        </w:rPr>
        <w:instrText xml:space="preserve">ADDIN Mendeley Bibliography CSL_BIBLIOGRAPHY </w:instrText>
      </w:r>
      <w:r w:rsidRPr="00467C54">
        <w:rPr>
          <w:rFonts w:asciiTheme="majorHAnsi" w:eastAsia="Times New Roman" w:hAnsiTheme="majorHAnsi" w:cs="Calibri"/>
          <w:color w:val="000000"/>
          <w:sz w:val="18"/>
          <w:szCs w:val="18"/>
        </w:rPr>
        <w:fldChar w:fldCharType="separate"/>
      </w:r>
      <w:r w:rsidR="00EB25FC" w:rsidRPr="00467C54">
        <w:rPr>
          <w:rFonts w:asciiTheme="majorHAnsi" w:hAnsiTheme="majorHAnsi" w:cs="Calibri"/>
          <w:sz w:val="18"/>
          <w:szCs w:val="18"/>
        </w:rPr>
        <w:t>1.</w:t>
      </w:r>
      <w:r w:rsidR="00EB25FC" w:rsidRPr="00467C54">
        <w:rPr>
          <w:rFonts w:asciiTheme="majorHAnsi" w:hAnsiTheme="majorHAnsi" w:cs="Calibri"/>
          <w:sz w:val="18"/>
          <w:szCs w:val="18"/>
        </w:rPr>
        <w:tab/>
        <w:t xml:space="preserve">Snowden, A. &amp; MacArthur, E. </w:t>
      </w:r>
      <w:r w:rsidR="00EB25FC" w:rsidRPr="00467C54">
        <w:rPr>
          <w:rFonts w:asciiTheme="majorHAnsi" w:hAnsiTheme="majorHAnsi" w:cs="Calibri"/>
          <w:i/>
          <w:iCs/>
          <w:sz w:val="18"/>
          <w:szCs w:val="18"/>
        </w:rPr>
        <w:t>Validation of the NHS Scotland Employee Engagement Index: Interim Report</w:t>
      </w:r>
      <w:r w:rsidR="00EB25FC" w:rsidRPr="00467C54">
        <w:rPr>
          <w:rFonts w:asciiTheme="majorHAnsi" w:hAnsiTheme="majorHAnsi" w:cs="Calibri"/>
          <w:sz w:val="18"/>
          <w:szCs w:val="18"/>
        </w:rPr>
        <w:t>. 40 (2013).</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w:t>
      </w:r>
      <w:r w:rsidRPr="00467C54">
        <w:rPr>
          <w:rFonts w:asciiTheme="majorHAnsi" w:hAnsiTheme="majorHAnsi" w:cs="Calibri"/>
          <w:sz w:val="18"/>
          <w:szCs w:val="18"/>
        </w:rPr>
        <w:tab/>
        <w:t xml:space="preserve">Francis, R. </w:t>
      </w:r>
      <w:r w:rsidRPr="00467C54">
        <w:rPr>
          <w:rFonts w:asciiTheme="majorHAnsi" w:hAnsiTheme="majorHAnsi" w:cs="Calibri"/>
          <w:i/>
          <w:iCs/>
          <w:sz w:val="18"/>
          <w:szCs w:val="18"/>
        </w:rPr>
        <w:t>Report of the Mid Staffordshire NHS Foundation Trust Public Inquiry Executive summary</w:t>
      </w:r>
      <w:r w:rsidRPr="00467C54">
        <w:rPr>
          <w:rFonts w:asciiTheme="majorHAnsi" w:hAnsiTheme="majorHAnsi" w:cs="Calibri"/>
          <w:sz w:val="18"/>
          <w:szCs w:val="18"/>
        </w:rPr>
        <w:t>. (London, 2013).</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3.</w:t>
      </w:r>
      <w:r w:rsidRPr="00467C54">
        <w:rPr>
          <w:rFonts w:asciiTheme="majorHAnsi" w:hAnsiTheme="majorHAnsi" w:cs="Calibri"/>
          <w:sz w:val="18"/>
          <w:szCs w:val="18"/>
        </w:rPr>
        <w:tab/>
        <w:t xml:space="preserve">NHSScotland </w:t>
      </w:r>
      <w:r w:rsidRPr="00467C54">
        <w:rPr>
          <w:rFonts w:asciiTheme="majorHAnsi" w:hAnsiTheme="majorHAnsi" w:cs="Calibri"/>
          <w:i/>
          <w:iCs/>
          <w:sz w:val="18"/>
          <w:szCs w:val="18"/>
        </w:rPr>
        <w:t>Staff Governance Standard. A Framework for NHSScotland Organisations and Employees, 4th edition</w:t>
      </w:r>
      <w:r w:rsidRPr="00467C54">
        <w:rPr>
          <w:rFonts w:asciiTheme="majorHAnsi" w:hAnsiTheme="majorHAnsi" w:cs="Calibri"/>
          <w:sz w:val="18"/>
          <w:szCs w:val="18"/>
        </w:rPr>
        <w:t>. 22 (Edinburgh.,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4.</w:t>
      </w:r>
      <w:r w:rsidRPr="00467C54">
        <w:rPr>
          <w:rFonts w:asciiTheme="majorHAnsi" w:hAnsiTheme="majorHAnsi" w:cs="Calibri"/>
          <w:sz w:val="18"/>
          <w:szCs w:val="18"/>
        </w:rPr>
        <w:tab/>
        <w:t xml:space="preserve">The Scottish Government Rights , Relationships and Recovery : Refreshed Action plan 2010 - 2011. </w:t>
      </w:r>
      <w:r w:rsidRPr="00467C54">
        <w:rPr>
          <w:rFonts w:asciiTheme="majorHAnsi" w:hAnsiTheme="majorHAnsi" w:cs="Calibri"/>
          <w:i/>
          <w:iCs/>
          <w:sz w:val="18"/>
          <w:szCs w:val="18"/>
        </w:rPr>
        <w:t>Nursing</w:t>
      </w:r>
      <w:r w:rsidRPr="00467C54">
        <w:rPr>
          <w:rFonts w:asciiTheme="majorHAnsi" w:hAnsiTheme="majorHAnsi" w:cs="Calibri"/>
          <w:sz w:val="18"/>
          <w:szCs w:val="18"/>
        </w:rPr>
        <w:t xml:space="preserve"> (2010).at &lt;http://www.scotland.gov.uk/Resource/Doc/924/0097678.pdf&gt;</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5.</w:t>
      </w:r>
      <w:r w:rsidRPr="00467C54">
        <w:rPr>
          <w:rFonts w:asciiTheme="majorHAnsi" w:hAnsiTheme="majorHAnsi" w:cs="Calibri"/>
          <w:sz w:val="18"/>
          <w:szCs w:val="18"/>
        </w:rPr>
        <w:tab/>
        <w:t xml:space="preserve">The Scottish Government </w:t>
      </w:r>
      <w:r w:rsidRPr="00467C54">
        <w:rPr>
          <w:rFonts w:asciiTheme="majorHAnsi" w:hAnsiTheme="majorHAnsi" w:cs="Calibri"/>
          <w:i/>
          <w:iCs/>
          <w:sz w:val="18"/>
          <w:szCs w:val="18"/>
        </w:rPr>
        <w:t>Safe and Well at Work: Occupational Health and Safety Framework for NHSScotland</w:t>
      </w:r>
      <w:r w:rsidRPr="00467C54">
        <w:rPr>
          <w:rFonts w:asciiTheme="majorHAnsi" w:hAnsiTheme="majorHAnsi" w:cs="Calibri"/>
          <w:sz w:val="18"/>
          <w:szCs w:val="18"/>
        </w:rPr>
        <w:t>. (2011).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6.</w:t>
      </w:r>
      <w:r w:rsidRPr="00467C54">
        <w:rPr>
          <w:rFonts w:asciiTheme="majorHAnsi" w:hAnsiTheme="majorHAnsi" w:cs="Calibri"/>
          <w:sz w:val="18"/>
          <w:szCs w:val="18"/>
        </w:rPr>
        <w:tab/>
        <w:t>The Scottish Government Patient Rights (Scotland) Act 2011. (2011).at &lt;http://www.legislation.gov.uk/asp/2011/5/schedule&gt;</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7.</w:t>
      </w:r>
      <w:r w:rsidRPr="00467C54">
        <w:rPr>
          <w:rFonts w:asciiTheme="majorHAnsi" w:hAnsiTheme="majorHAnsi" w:cs="Calibri"/>
          <w:sz w:val="18"/>
          <w:szCs w:val="18"/>
        </w:rPr>
        <w:tab/>
        <w:t xml:space="preserve">The Scottish Government </w:t>
      </w:r>
      <w:r w:rsidRPr="00467C54">
        <w:rPr>
          <w:rFonts w:asciiTheme="majorHAnsi" w:hAnsiTheme="majorHAnsi" w:cs="Calibri"/>
          <w:i/>
          <w:iCs/>
          <w:sz w:val="18"/>
          <w:szCs w:val="18"/>
        </w:rPr>
        <w:t>The Healthcare Quality Strategy for NHSScotland</w:t>
      </w:r>
      <w:r w:rsidRPr="00467C54">
        <w:rPr>
          <w:rFonts w:asciiTheme="majorHAnsi" w:hAnsiTheme="majorHAnsi" w:cs="Calibri"/>
          <w:sz w:val="18"/>
          <w:szCs w:val="18"/>
        </w:rPr>
        <w:t xml:space="preserve">. </w:t>
      </w:r>
      <w:r w:rsidRPr="00467C54">
        <w:rPr>
          <w:rFonts w:asciiTheme="majorHAnsi" w:hAnsiTheme="majorHAnsi" w:cs="Calibri"/>
          <w:i/>
          <w:iCs/>
          <w:sz w:val="18"/>
          <w:szCs w:val="18"/>
        </w:rPr>
        <w:t>Network</w:t>
      </w:r>
      <w:r w:rsidRPr="00467C54">
        <w:rPr>
          <w:rFonts w:asciiTheme="majorHAnsi" w:hAnsiTheme="majorHAnsi" w:cs="Calibri"/>
          <w:sz w:val="18"/>
          <w:szCs w:val="18"/>
        </w:rPr>
        <w:t xml:space="preserve"> (Edinburgh, 2010).at &lt;http://www.scotland.gov.uk/Resource/Doc/311667/0098354.pdf&gt;</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8.</w:t>
      </w:r>
      <w:r w:rsidRPr="00467C54">
        <w:rPr>
          <w:rFonts w:asciiTheme="majorHAnsi" w:hAnsiTheme="majorHAnsi" w:cs="Calibri"/>
          <w:sz w:val="18"/>
          <w:szCs w:val="18"/>
        </w:rPr>
        <w:tab/>
        <w:t xml:space="preserve">The Scottish Government </w:t>
      </w:r>
      <w:r w:rsidRPr="00467C54">
        <w:rPr>
          <w:rFonts w:asciiTheme="majorHAnsi" w:hAnsiTheme="majorHAnsi" w:cs="Calibri"/>
          <w:i/>
          <w:iCs/>
          <w:sz w:val="18"/>
          <w:szCs w:val="18"/>
        </w:rPr>
        <w:t>NHSScotland Chief Executive’s Annual Report</w:t>
      </w:r>
      <w:r w:rsidRPr="00467C54">
        <w:rPr>
          <w:rFonts w:asciiTheme="majorHAnsi" w:hAnsiTheme="majorHAnsi" w:cs="Calibri"/>
          <w:sz w:val="18"/>
          <w:szCs w:val="18"/>
        </w:rPr>
        <w:t>.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9.</w:t>
      </w:r>
      <w:r w:rsidRPr="00467C54">
        <w:rPr>
          <w:rFonts w:asciiTheme="majorHAnsi" w:hAnsiTheme="majorHAnsi" w:cs="Calibri"/>
          <w:sz w:val="18"/>
          <w:szCs w:val="18"/>
        </w:rPr>
        <w:tab/>
        <w:t xml:space="preserve">Hellerstein, J.M. </w:t>
      </w:r>
      <w:r w:rsidRPr="00467C54">
        <w:rPr>
          <w:rFonts w:asciiTheme="majorHAnsi" w:hAnsiTheme="majorHAnsi" w:cs="Calibri"/>
          <w:i/>
          <w:iCs/>
          <w:sz w:val="18"/>
          <w:szCs w:val="18"/>
        </w:rPr>
        <w:t>Principles and methods of data cleaning</w:t>
      </w:r>
      <w:r w:rsidRPr="00467C54">
        <w:rPr>
          <w:rFonts w:asciiTheme="majorHAnsi" w:hAnsiTheme="majorHAnsi" w:cs="Calibri"/>
          <w:sz w:val="18"/>
          <w:szCs w:val="18"/>
        </w:rPr>
        <w:t>. 1-42 (2008).</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10.</w:t>
      </w:r>
      <w:r w:rsidRPr="00467C54">
        <w:rPr>
          <w:rFonts w:asciiTheme="majorHAnsi" w:hAnsiTheme="majorHAnsi" w:cs="Calibri"/>
          <w:sz w:val="18"/>
          <w:szCs w:val="18"/>
        </w:rPr>
        <w:tab/>
        <w:t xml:space="preserve">Parasuraman, A., Berry, L.L. &amp; Zeithaml, V.A. Refinement and reassessment of the SERVQUAL scale. </w:t>
      </w:r>
      <w:r w:rsidRPr="00467C54">
        <w:rPr>
          <w:rFonts w:asciiTheme="majorHAnsi" w:hAnsiTheme="majorHAnsi" w:cs="Calibri"/>
          <w:i/>
          <w:iCs/>
          <w:sz w:val="18"/>
          <w:szCs w:val="18"/>
        </w:rPr>
        <w:t>Journal of Retailing</w:t>
      </w:r>
      <w:r w:rsidRPr="00467C54">
        <w:rPr>
          <w:rFonts w:asciiTheme="majorHAnsi" w:hAnsiTheme="majorHAnsi" w:cs="Calibri"/>
          <w:sz w:val="18"/>
          <w:szCs w:val="18"/>
        </w:rPr>
        <w:t xml:space="preserve"> </w:t>
      </w:r>
      <w:r w:rsidRPr="00467C54">
        <w:rPr>
          <w:rFonts w:asciiTheme="majorHAnsi" w:hAnsiTheme="majorHAnsi" w:cs="Calibri"/>
          <w:b/>
          <w:bCs/>
          <w:sz w:val="18"/>
          <w:szCs w:val="18"/>
        </w:rPr>
        <w:t>67</w:t>
      </w:r>
      <w:r w:rsidRPr="00467C54">
        <w:rPr>
          <w:rFonts w:asciiTheme="majorHAnsi" w:hAnsiTheme="majorHAnsi" w:cs="Calibri"/>
          <w:sz w:val="18"/>
          <w:szCs w:val="18"/>
        </w:rPr>
        <w:t>, 420-450 (1991).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11.</w:t>
      </w:r>
      <w:r w:rsidRPr="00467C54">
        <w:rPr>
          <w:rFonts w:asciiTheme="majorHAnsi" w:hAnsiTheme="majorHAnsi" w:cs="Calibri"/>
          <w:sz w:val="18"/>
          <w:szCs w:val="18"/>
        </w:rPr>
        <w:tab/>
        <w:t xml:space="preserve">Bond, T.G. &amp; Fox, C.M. </w:t>
      </w:r>
      <w:r w:rsidRPr="00467C54">
        <w:rPr>
          <w:rFonts w:asciiTheme="majorHAnsi" w:hAnsiTheme="majorHAnsi" w:cs="Calibri"/>
          <w:i/>
          <w:iCs/>
          <w:sz w:val="18"/>
          <w:szCs w:val="18"/>
        </w:rPr>
        <w:t>Applying the Rasch Model. Fundamental Measurement in the Human Sciences</w:t>
      </w:r>
      <w:r w:rsidRPr="00467C54">
        <w:rPr>
          <w:rFonts w:asciiTheme="majorHAnsi" w:hAnsiTheme="majorHAnsi" w:cs="Calibri"/>
          <w:sz w:val="18"/>
          <w:szCs w:val="18"/>
        </w:rPr>
        <w:t>. 339 (Routeledge: New York, NY, 2007).</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12.</w:t>
      </w:r>
      <w:r w:rsidRPr="00467C54">
        <w:rPr>
          <w:rFonts w:asciiTheme="majorHAnsi" w:hAnsiTheme="majorHAnsi" w:cs="Calibri"/>
          <w:sz w:val="18"/>
          <w:szCs w:val="18"/>
        </w:rPr>
        <w:tab/>
        <w:t>Bacon, N. &amp; Hoque, K. NHS Scotland Staff Survey 2010 Highlights report. (2011).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13.</w:t>
      </w:r>
      <w:r w:rsidRPr="00467C54">
        <w:rPr>
          <w:rFonts w:asciiTheme="majorHAnsi" w:hAnsiTheme="majorHAnsi" w:cs="Calibri"/>
          <w:sz w:val="18"/>
          <w:szCs w:val="18"/>
        </w:rPr>
        <w:tab/>
        <w:t xml:space="preserve">Information Services Division NHS Scotland Workforce. </w:t>
      </w:r>
      <w:r w:rsidRPr="00467C54">
        <w:rPr>
          <w:rFonts w:asciiTheme="majorHAnsi" w:hAnsiTheme="majorHAnsi" w:cs="Calibri"/>
          <w:b/>
          <w:bCs/>
          <w:sz w:val="18"/>
          <w:szCs w:val="18"/>
        </w:rPr>
        <w:t>6</w:t>
      </w:r>
      <w:r w:rsidRPr="00467C54">
        <w:rPr>
          <w:rFonts w:asciiTheme="majorHAnsi" w:hAnsiTheme="majorHAnsi" w:cs="Calibri"/>
          <w:sz w:val="18"/>
          <w:szCs w:val="18"/>
        </w:rPr>
        <w:t>,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14.</w:t>
      </w:r>
      <w:r w:rsidRPr="00467C54">
        <w:rPr>
          <w:rFonts w:asciiTheme="majorHAnsi" w:hAnsiTheme="majorHAnsi" w:cs="Calibri"/>
          <w:sz w:val="18"/>
          <w:szCs w:val="18"/>
        </w:rPr>
        <w:tab/>
        <w:t xml:space="preserve">Information Services Division NHS Scotland Workforce. </w:t>
      </w:r>
      <w:r w:rsidRPr="00467C54">
        <w:rPr>
          <w:rFonts w:asciiTheme="majorHAnsi" w:hAnsiTheme="majorHAnsi" w:cs="Calibri"/>
          <w:b/>
          <w:bCs/>
          <w:sz w:val="18"/>
          <w:szCs w:val="18"/>
        </w:rPr>
        <w:t>6</w:t>
      </w:r>
      <w:r w:rsidRPr="00467C54">
        <w:rPr>
          <w:rFonts w:asciiTheme="majorHAnsi" w:hAnsiTheme="majorHAnsi" w:cs="Calibri"/>
          <w:sz w:val="18"/>
          <w:szCs w:val="18"/>
        </w:rPr>
        <w:t>,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15.</w:t>
      </w:r>
      <w:r w:rsidRPr="00467C54">
        <w:rPr>
          <w:rFonts w:asciiTheme="majorHAnsi" w:hAnsiTheme="majorHAnsi" w:cs="Calibri"/>
          <w:sz w:val="18"/>
          <w:szCs w:val="18"/>
        </w:rPr>
        <w:tab/>
        <w:t xml:space="preserve">Bond, T.G. &amp; Fox, C.M. </w:t>
      </w:r>
      <w:r w:rsidRPr="00467C54">
        <w:rPr>
          <w:rFonts w:asciiTheme="majorHAnsi" w:hAnsiTheme="majorHAnsi" w:cs="Calibri"/>
          <w:i/>
          <w:iCs/>
          <w:sz w:val="18"/>
          <w:szCs w:val="18"/>
        </w:rPr>
        <w:t>Applying the Rasch Model. Fundamental Measurement in the Human Sciences</w:t>
      </w:r>
      <w:r w:rsidRPr="00467C54">
        <w:rPr>
          <w:rFonts w:asciiTheme="majorHAnsi" w:hAnsiTheme="majorHAnsi" w:cs="Calibri"/>
          <w:sz w:val="18"/>
          <w:szCs w:val="18"/>
        </w:rPr>
        <w:t>. 340 (Routeledge: Oxon, 2007).</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16.</w:t>
      </w:r>
      <w:r w:rsidRPr="00467C54">
        <w:rPr>
          <w:rFonts w:asciiTheme="majorHAnsi" w:hAnsiTheme="majorHAnsi" w:cs="Calibri"/>
          <w:sz w:val="18"/>
          <w:szCs w:val="18"/>
        </w:rPr>
        <w:tab/>
        <w:t xml:space="preserve">Pilkonis, P.A., Choi, S., Reise, S.P. &amp; Stover, A.M. Item banks for measuring emotional distress from the Patient Reported Outcomes Measurement Information System (PROMIS): Depression, Anxiety and Anger. </w:t>
      </w:r>
      <w:r w:rsidRPr="00467C54">
        <w:rPr>
          <w:rFonts w:asciiTheme="majorHAnsi" w:hAnsiTheme="majorHAnsi" w:cs="Calibri"/>
          <w:i/>
          <w:iCs/>
          <w:sz w:val="18"/>
          <w:szCs w:val="18"/>
        </w:rPr>
        <w:t>Assessment</w:t>
      </w:r>
      <w:r w:rsidRPr="00467C54">
        <w:rPr>
          <w:rFonts w:asciiTheme="majorHAnsi" w:hAnsiTheme="majorHAnsi" w:cs="Calibri"/>
          <w:sz w:val="18"/>
          <w:szCs w:val="18"/>
        </w:rPr>
        <w:t xml:space="preserve"> </w:t>
      </w:r>
      <w:r w:rsidRPr="00467C54">
        <w:rPr>
          <w:rFonts w:asciiTheme="majorHAnsi" w:hAnsiTheme="majorHAnsi" w:cs="Calibri"/>
          <w:b/>
          <w:bCs/>
          <w:sz w:val="18"/>
          <w:szCs w:val="18"/>
        </w:rPr>
        <w:t>18</w:t>
      </w:r>
      <w:r w:rsidRPr="00467C54">
        <w:rPr>
          <w:rFonts w:asciiTheme="majorHAnsi" w:hAnsiTheme="majorHAnsi" w:cs="Calibri"/>
          <w:sz w:val="18"/>
          <w:szCs w:val="18"/>
        </w:rPr>
        <w:t>, 263-283 (2011).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17.</w:t>
      </w:r>
      <w:r w:rsidRPr="00467C54">
        <w:rPr>
          <w:rFonts w:asciiTheme="majorHAnsi" w:hAnsiTheme="majorHAnsi" w:cs="Calibri"/>
          <w:sz w:val="18"/>
          <w:szCs w:val="18"/>
        </w:rPr>
        <w:tab/>
        <w:t xml:space="preserve">Streiner, D. &amp; Norman, GR. </w:t>
      </w:r>
      <w:r w:rsidRPr="00467C54">
        <w:rPr>
          <w:rFonts w:asciiTheme="majorHAnsi" w:hAnsiTheme="majorHAnsi" w:cs="Calibri"/>
          <w:i/>
          <w:iCs/>
          <w:sz w:val="18"/>
          <w:szCs w:val="18"/>
        </w:rPr>
        <w:t>Health Measurement Scales: A Practical Guide to their Development and Use.</w:t>
      </w:r>
      <w:r w:rsidRPr="00467C54">
        <w:rPr>
          <w:rFonts w:asciiTheme="majorHAnsi" w:hAnsiTheme="majorHAnsi" w:cs="Calibri"/>
          <w:sz w:val="18"/>
          <w:szCs w:val="18"/>
        </w:rPr>
        <w:t xml:space="preserve"> (Oxford University Press: New York, NY, 2008).</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18.</w:t>
      </w:r>
      <w:r w:rsidRPr="00467C54">
        <w:rPr>
          <w:rFonts w:asciiTheme="majorHAnsi" w:hAnsiTheme="majorHAnsi" w:cs="Calibri"/>
          <w:sz w:val="18"/>
          <w:szCs w:val="18"/>
        </w:rPr>
        <w:tab/>
        <w:t>Cornwell, J. Why we need a national framework for patient experience. (2012).at &lt;http://www.kingsfund.org.uk/blog/patient_exp.html&gt;</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19.</w:t>
      </w:r>
      <w:r w:rsidRPr="00467C54">
        <w:rPr>
          <w:rFonts w:asciiTheme="majorHAnsi" w:hAnsiTheme="majorHAnsi" w:cs="Calibri"/>
          <w:sz w:val="18"/>
          <w:szCs w:val="18"/>
        </w:rPr>
        <w:tab/>
        <w:t xml:space="preserve">Risjord, M., Moloney, M. &amp; Dunbar, S. Methodological Triangulation in Nursing Research. </w:t>
      </w:r>
      <w:r w:rsidRPr="00467C54">
        <w:rPr>
          <w:rFonts w:asciiTheme="majorHAnsi" w:hAnsiTheme="majorHAnsi" w:cs="Calibri"/>
          <w:i/>
          <w:iCs/>
          <w:sz w:val="18"/>
          <w:szCs w:val="18"/>
        </w:rPr>
        <w:t>Philosophy of the Social Sciences</w:t>
      </w:r>
      <w:r w:rsidRPr="00467C54">
        <w:rPr>
          <w:rFonts w:asciiTheme="majorHAnsi" w:hAnsiTheme="majorHAnsi" w:cs="Calibri"/>
          <w:sz w:val="18"/>
          <w:szCs w:val="18"/>
        </w:rPr>
        <w:t xml:space="preserve"> </w:t>
      </w:r>
      <w:r w:rsidRPr="00467C54">
        <w:rPr>
          <w:rFonts w:asciiTheme="majorHAnsi" w:hAnsiTheme="majorHAnsi" w:cs="Calibri"/>
          <w:b/>
          <w:bCs/>
          <w:sz w:val="18"/>
          <w:szCs w:val="18"/>
        </w:rPr>
        <w:t>31</w:t>
      </w:r>
      <w:r w:rsidRPr="00467C54">
        <w:rPr>
          <w:rFonts w:asciiTheme="majorHAnsi" w:hAnsiTheme="majorHAnsi" w:cs="Calibri"/>
          <w:sz w:val="18"/>
          <w:szCs w:val="18"/>
        </w:rPr>
        <w:t>, 40-59 (2001).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20.</w:t>
      </w:r>
      <w:r w:rsidRPr="00467C54">
        <w:rPr>
          <w:rFonts w:asciiTheme="majorHAnsi" w:hAnsiTheme="majorHAnsi" w:cs="Calibri"/>
          <w:sz w:val="18"/>
          <w:szCs w:val="18"/>
        </w:rPr>
        <w:tab/>
        <w:t xml:space="preserve">Engelhard, G. Transactions of the Rasch Measurement SIG. </w:t>
      </w:r>
      <w:r w:rsidRPr="00467C54">
        <w:rPr>
          <w:rFonts w:asciiTheme="majorHAnsi" w:hAnsiTheme="majorHAnsi" w:cs="Calibri"/>
          <w:b/>
          <w:bCs/>
          <w:sz w:val="18"/>
          <w:szCs w:val="18"/>
        </w:rPr>
        <w:t>26</w:t>
      </w:r>
      <w:r w:rsidRPr="00467C54">
        <w:rPr>
          <w:rFonts w:asciiTheme="majorHAnsi" w:hAnsiTheme="majorHAnsi" w:cs="Calibri"/>
          <w:sz w:val="18"/>
          <w:szCs w:val="18"/>
        </w:rPr>
        <w:t>,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21.</w:t>
      </w:r>
      <w:r w:rsidRPr="00467C54">
        <w:rPr>
          <w:rFonts w:asciiTheme="majorHAnsi" w:hAnsiTheme="majorHAnsi" w:cs="Calibri"/>
          <w:sz w:val="18"/>
          <w:szCs w:val="18"/>
        </w:rPr>
        <w:tab/>
        <w:t xml:space="preserve">Randall, J. &amp; Engelhard, G. Using Confirmatory Factor Analysis and Rasch Measurement Theory to Assess Measurement Invariance in a High Stakes Reading Assessment. </w:t>
      </w:r>
      <w:r w:rsidRPr="00467C54">
        <w:rPr>
          <w:rFonts w:asciiTheme="majorHAnsi" w:hAnsiTheme="majorHAnsi" w:cs="Calibri"/>
          <w:i/>
          <w:iCs/>
          <w:sz w:val="18"/>
          <w:szCs w:val="18"/>
        </w:rPr>
        <w:t>Applied Measurement in Education,</w:t>
      </w:r>
      <w:r w:rsidRPr="00467C54">
        <w:rPr>
          <w:rFonts w:asciiTheme="majorHAnsi" w:hAnsiTheme="majorHAnsi" w:cs="Calibri"/>
          <w:sz w:val="18"/>
          <w:szCs w:val="18"/>
        </w:rPr>
        <w:t xml:space="preserve"> </w:t>
      </w:r>
      <w:r w:rsidRPr="00467C54">
        <w:rPr>
          <w:rFonts w:asciiTheme="majorHAnsi" w:hAnsiTheme="majorHAnsi" w:cs="Calibri"/>
          <w:b/>
          <w:bCs/>
          <w:sz w:val="18"/>
          <w:szCs w:val="18"/>
        </w:rPr>
        <w:t>23</w:t>
      </w:r>
      <w:r w:rsidRPr="00467C54">
        <w:rPr>
          <w:rFonts w:asciiTheme="majorHAnsi" w:hAnsiTheme="majorHAnsi" w:cs="Calibri"/>
          <w:sz w:val="18"/>
          <w:szCs w:val="18"/>
        </w:rPr>
        <w:t>, 286-306. (2010).</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22.</w:t>
      </w:r>
      <w:r w:rsidRPr="00467C54">
        <w:rPr>
          <w:rFonts w:asciiTheme="majorHAnsi" w:hAnsiTheme="majorHAnsi" w:cs="Calibri"/>
          <w:sz w:val="18"/>
          <w:szCs w:val="18"/>
        </w:rPr>
        <w:tab/>
        <w:t xml:space="preserve">Saltzberger, T. The Rasch model and factor analysis: Complementary or mutually exclusive? </w:t>
      </w:r>
      <w:r w:rsidRPr="00467C54">
        <w:rPr>
          <w:rFonts w:asciiTheme="majorHAnsi" w:hAnsiTheme="majorHAnsi" w:cs="Calibri"/>
          <w:i/>
          <w:iCs/>
          <w:sz w:val="18"/>
          <w:szCs w:val="18"/>
        </w:rPr>
        <w:t>Rasch Measurement Transactions</w:t>
      </w:r>
      <w:r w:rsidRPr="00467C54">
        <w:rPr>
          <w:rFonts w:asciiTheme="majorHAnsi" w:hAnsiTheme="majorHAnsi" w:cs="Calibri"/>
          <w:sz w:val="18"/>
          <w:szCs w:val="18"/>
        </w:rPr>
        <w:t xml:space="preserve"> </w:t>
      </w:r>
      <w:r w:rsidRPr="00467C54">
        <w:rPr>
          <w:rFonts w:asciiTheme="majorHAnsi" w:hAnsiTheme="majorHAnsi" w:cs="Calibri"/>
          <w:b/>
          <w:bCs/>
          <w:sz w:val="18"/>
          <w:szCs w:val="18"/>
        </w:rPr>
        <w:t>26</w:t>
      </w:r>
      <w:r w:rsidRPr="00467C54">
        <w:rPr>
          <w:rFonts w:asciiTheme="majorHAnsi" w:hAnsiTheme="majorHAnsi" w:cs="Calibri"/>
          <w:sz w:val="18"/>
          <w:szCs w:val="18"/>
        </w:rPr>
        <w:t>, 1376-8 (2012).</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23.</w:t>
      </w:r>
      <w:r w:rsidRPr="00467C54">
        <w:rPr>
          <w:rFonts w:asciiTheme="majorHAnsi" w:hAnsiTheme="majorHAnsi" w:cs="Calibri"/>
          <w:sz w:val="18"/>
          <w:szCs w:val="18"/>
        </w:rPr>
        <w:tab/>
        <w:t xml:space="preserve">Swain, S.D., Weathers, D. &amp; Niedrich, R.W. Assessing Three Sources of Misresponse to Reversed Likert Items. </w:t>
      </w:r>
      <w:r w:rsidRPr="00467C54">
        <w:rPr>
          <w:rFonts w:asciiTheme="majorHAnsi" w:hAnsiTheme="majorHAnsi" w:cs="Calibri"/>
          <w:i/>
          <w:iCs/>
          <w:sz w:val="18"/>
          <w:szCs w:val="18"/>
        </w:rPr>
        <w:t>Journal of Marketing Research</w:t>
      </w:r>
      <w:r w:rsidRPr="00467C54">
        <w:rPr>
          <w:rFonts w:asciiTheme="majorHAnsi" w:hAnsiTheme="majorHAnsi" w:cs="Calibri"/>
          <w:sz w:val="18"/>
          <w:szCs w:val="18"/>
        </w:rPr>
        <w:t xml:space="preserve"> </w:t>
      </w:r>
      <w:r w:rsidRPr="00467C54">
        <w:rPr>
          <w:rFonts w:asciiTheme="majorHAnsi" w:hAnsiTheme="majorHAnsi" w:cs="Calibri"/>
          <w:b/>
          <w:bCs/>
          <w:sz w:val="18"/>
          <w:szCs w:val="18"/>
        </w:rPr>
        <w:t>45</w:t>
      </w:r>
      <w:r w:rsidRPr="00467C54">
        <w:rPr>
          <w:rFonts w:asciiTheme="majorHAnsi" w:hAnsiTheme="majorHAnsi" w:cs="Calibri"/>
          <w:sz w:val="18"/>
          <w:szCs w:val="18"/>
        </w:rPr>
        <w:t>, 116-131 (2008).</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24.</w:t>
      </w:r>
      <w:r w:rsidRPr="00467C54">
        <w:rPr>
          <w:rFonts w:asciiTheme="majorHAnsi" w:hAnsiTheme="majorHAnsi" w:cs="Calibri"/>
          <w:sz w:val="18"/>
          <w:szCs w:val="18"/>
        </w:rPr>
        <w:tab/>
        <w:t xml:space="preserve">Kahneman, D. </w:t>
      </w:r>
      <w:r w:rsidRPr="00467C54">
        <w:rPr>
          <w:rFonts w:asciiTheme="majorHAnsi" w:hAnsiTheme="majorHAnsi" w:cs="Calibri"/>
          <w:i/>
          <w:iCs/>
          <w:sz w:val="18"/>
          <w:szCs w:val="18"/>
        </w:rPr>
        <w:t>Thinking Fast and Slow</w:t>
      </w:r>
      <w:r w:rsidRPr="00467C54">
        <w:rPr>
          <w:rFonts w:asciiTheme="majorHAnsi" w:hAnsiTheme="majorHAnsi" w:cs="Calibri"/>
          <w:sz w:val="18"/>
          <w:szCs w:val="18"/>
        </w:rPr>
        <w:t>. (Penguin: London., 2011).</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25.</w:t>
      </w:r>
      <w:r w:rsidRPr="00467C54">
        <w:rPr>
          <w:rFonts w:asciiTheme="majorHAnsi" w:hAnsiTheme="majorHAnsi" w:cs="Calibri"/>
          <w:sz w:val="18"/>
          <w:szCs w:val="18"/>
        </w:rPr>
        <w:tab/>
        <w:t xml:space="preserve">Mitchell, A.J. Short screening tools for cancer-related distress: a review and diagnostic validity meta-analysis. </w:t>
      </w:r>
      <w:r w:rsidRPr="00467C54">
        <w:rPr>
          <w:rFonts w:asciiTheme="majorHAnsi" w:hAnsiTheme="majorHAnsi" w:cs="Calibri"/>
          <w:i/>
          <w:iCs/>
          <w:sz w:val="18"/>
          <w:szCs w:val="18"/>
        </w:rPr>
        <w:t>J Natl Compr Canc Netw</w:t>
      </w:r>
      <w:r w:rsidRPr="00467C54">
        <w:rPr>
          <w:rFonts w:asciiTheme="majorHAnsi" w:hAnsiTheme="majorHAnsi" w:cs="Calibri"/>
          <w:sz w:val="18"/>
          <w:szCs w:val="18"/>
        </w:rPr>
        <w:t xml:space="preserve"> </w:t>
      </w:r>
      <w:r w:rsidRPr="00467C54">
        <w:rPr>
          <w:rFonts w:asciiTheme="majorHAnsi" w:hAnsiTheme="majorHAnsi" w:cs="Calibri"/>
          <w:b/>
          <w:bCs/>
          <w:sz w:val="18"/>
          <w:szCs w:val="18"/>
        </w:rPr>
        <w:t>8</w:t>
      </w:r>
      <w:r w:rsidRPr="00467C54">
        <w:rPr>
          <w:rFonts w:asciiTheme="majorHAnsi" w:hAnsiTheme="majorHAnsi" w:cs="Calibri"/>
          <w:sz w:val="18"/>
          <w:szCs w:val="18"/>
        </w:rPr>
        <w:t>, 487-494 (2010).</w:t>
      </w:r>
    </w:p>
    <w:p w:rsidR="00EB25FC" w:rsidRPr="00467C54" w:rsidRDefault="00EB25FC">
      <w:pPr>
        <w:pStyle w:val="NormalWeb"/>
        <w:ind w:left="640" w:hanging="640"/>
        <w:divId w:val="1621299888"/>
        <w:rPr>
          <w:rFonts w:asciiTheme="majorHAnsi" w:hAnsiTheme="majorHAnsi" w:cs="Calibri"/>
          <w:sz w:val="18"/>
          <w:szCs w:val="18"/>
        </w:rPr>
      </w:pPr>
      <w:r w:rsidRPr="00467C54">
        <w:rPr>
          <w:rFonts w:asciiTheme="majorHAnsi" w:hAnsiTheme="majorHAnsi" w:cs="Calibri"/>
          <w:sz w:val="18"/>
          <w:szCs w:val="18"/>
        </w:rPr>
        <w:t>26.</w:t>
      </w:r>
      <w:r w:rsidRPr="00467C54">
        <w:rPr>
          <w:rFonts w:asciiTheme="majorHAnsi" w:hAnsiTheme="majorHAnsi" w:cs="Calibri"/>
          <w:sz w:val="18"/>
          <w:szCs w:val="18"/>
        </w:rPr>
        <w:tab/>
        <w:t xml:space="preserve">Fries, J., Rose, M. &amp; Krishnan, E. The PROMIS of better outcome assessment: responsiveness, floor and ceiling effects, and Internet administration. </w:t>
      </w:r>
      <w:r w:rsidRPr="00467C54">
        <w:rPr>
          <w:rFonts w:asciiTheme="majorHAnsi" w:hAnsiTheme="majorHAnsi" w:cs="Calibri"/>
          <w:i/>
          <w:iCs/>
          <w:sz w:val="18"/>
          <w:szCs w:val="18"/>
        </w:rPr>
        <w:t>The Journal of rheumatology</w:t>
      </w:r>
      <w:r w:rsidRPr="00467C54">
        <w:rPr>
          <w:rFonts w:asciiTheme="majorHAnsi" w:hAnsiTheme="majorHAnsi" w:cs="Calibri"/>
          <w:sz w:val="18"/>
          <w:szCs w:val="18"/>
        </w:rPr>
        <w:t xml:space="preserve"> </w:t>
      </w:r>
      <w:r w:rsidRPr="00467C54">
        <w:rPr>
          <w:rFonts w:asciiTheme="majorHAnsi" w:hAnsiTheme="majorHAnsi" w:cs="Calibri"/>
          <w:b/>
          <w:bCs/>
          <w:sz w:val="18"/>
          <w:szCs w:val="18"/>
        </w:rPr>
        <w:t>38</w:t>
      </w:r>
      <w:r w:rsidRPr="00467C54">
        <w:rPr>
          <w:rFonts w:asciiTheme="majorHAnsi" w:hAnsiTheme="majorHAnsi" w:cs="Calibri"/>
          <w:sz w:val="18"/>
          <w:szCs w:val="18"/>
        </w:rPr>
        <w:t xml:space="preserve">, 1759-1764 (2011). </w:t>
      </w:r>
    </w:p>
    <w:p w:rsidR="005C2F69" w:rsidRPr="00467C54" w:rsidRDefault="006F6711" w:rsidP="00EB25FC">
      <w:pPr>
        <w:pStyle w:val="NormalWeb"/>
        <w:ind w:left="640" w:hanging="640"/>
        <w:divId w:val="1753429217"/>
        <w:rPr>
          <w:rFonts w:asciiTheme="majorHAnsi" w:eastAsia="Times New Roman" w:hAnsiTheme="majorHAnsi" w:cs="Calibri"/>
          <w:color w:val="000000"/>
        </w:rPr>
        <w:sectPr w:rsidR="005C2F69" w:rsidRPr="00467C54" w:rsidSect="0060770C">
          <w:pgSz w:w="11906" w:h="16838"/>
          <w:pgMar w:top="1440" w:right="1440" w:bottom="1440" w:left="1440" w:header="708" w:footer="708" w:gutter="0"/>
          <w:cols w:space="708"/>
          <w:docGrid w:linePitch="360"/>
        </w:sectPr>
      </w:pPr>
      <w:r w:rsidRPr="00467C54">
        <w:rPr>
          <w:rFonts w:asciiTheme="majorHAnsi" w:eastAsia="Times New Roman" w:hAnsiTheme="majorHAnsi" w:cs="Calibri"/>
          <w:color w:val="000000"/>
          <w:sz w:val="18"/>
          <w:szCs w:val="18"/>
        </w:rPr>
        <w:fldChar w:fldCharType="end"/>
      </w:r>
    </w:p>
    <w:p w:rsidR="005C2F69" w:rsidRPr="00467C54" w:rsidRDefault="00C0109A" w:rsidP="00572CFB">
      <w:pPr>
        <w:jc w:val="left"/>
        <w:rPr>
          <w:rFonts w:asciiTheme="majorHAnsi" w:hAnsiTheme="majorHAnsi"/>
          <w:lang w:eastAsia="en-GB"/>
        </w:rPr>
      </w:pPr>
      <w:bookmarkStart w:id="97" w:name="_Toc351201902"/>
      <w:r w:rsidRPr="00467C54">
        <w:rPr>
          <w:rStyle w:val="Heading2Char"/>
        </w:rPr>
        <w:t xml:space="preserve">Appendix 1. </w:t>
      </w:r>
      <w:r w:rsidR="005C2F69" w:rsidRPr="00467C54">
        <w:rPr>
          <w:rStyle w:val="Heading2Char"/>
        </w:rPr>
        <w:t xml:space="preserve"> </w:t>
      </w:r>
      <w:r w:rsidR="001B0018" w:rsidRPr="00467C54">
        <w:rPr>
          <w:rStyle w:val="Heading2Char"/>
        </w:rPr>
        <w:t>NHSEEI</w:t>
      </w:r>
      <w:bookmarkEnd w:id="97"/>
      <w:r w:rsidR="006F6711" w:rsidRPr="00467C54">
        <w:rPr>
          <w:rFonts w:asciiTheme="majorHAnsi" w:hAnsiTheme="majorHAnsi"/>
          <w:lang w:eastAsia="en-GB"/>
        </w:rPr>
        <w:fldChar w:fldCharType="begin"/>
      </w:r>
      <w:r w:rsidR="00DA28BA" w:rsidRPr="00467C54">
        <w:rPr>
          <w:rFonts w:asciiTheme="majorHAnsi" w:hAnsiTheme="majorHAnsi"/>
          <w:lang w:eastAsia="en-GB"/>
        </w:rPr>
        <w:instrText xml:space="preserve"> LINK AcroExch.Document.7 "" "" \a \p \f 0 </w:instrText>
      </w:r>
      <w:r w:rsidR="0025155A" w:rsidRPr="00467C54">
        <w:rPr>
          <w:rFonts w:asciiTheme="majorHAnsi" w:hAnsiTheme="majorHAnsi"/>
          <w:lang w:eastAsia="en-GB"/>
        </w:rPr>
        <w:instrText xml:space="preserve"> \* MERGEFORMAT </w:instrText>
      </w:r>
      <w:r w:rsidR="006F6711" w:rsidRPr="00467C54">
        <w:rPr>
          <w:rFonts w:asciiTheme="majorHAnsi" w:hAnsiTheme="majorHAnsi"/>
          <w:lang w:eastAsia="en-GB"/>
        </w:rPr>
        <w:fldChar w:fldCharType="separate"/>
      </w:r>
      <w:r w:rsidR="009028AB">
        <w:rPr>
          <w:rFonts w:asciiTheme="majorHAnsi" w:hAnsiTheme="majorHAnsi"/>
          <w:noProof/>
          <w:lang w:eastAsia="en-GB"/>
        </w:rPr>
        <w:drawing>
          <wp:inline distT="0" distB="0" distL="0" distR="0">
            <wp:extent cx="6050280" cy="7962900"/>
            <wp:effectExtent l="0" t="0" r="7620" b="0"/>
            <wp:docPr id="8"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0280" cy="7962900"/>
                    </a:xfrm>
                    <a:prstGeom prst="rect">
                      <a:avLst/>
                    </a:prstGeom>
                    <a:noFill/>
                    <a:ln>
                      <a:noFill/>
                    </a:ln>
                  </pic:spPr>
                </pic:pic>
              </a:graphicData>
            </a:graphic>
          </wp:inline>
        </w:drawing>
      </w:r>
      <w:r w:rsidR="006F6711" w:rsidRPr="00467C54">
        <w:rPr>
          <w:rFonts w:asciiTheme="majorHAnsi" w:hAnsiTheme="majorHAnsi"/>
          <w:lang w:eastAsia="en-GB"/>
        </w:rPr>
        <w:fldChar w:fldCharType="end"/>
      </w:r>
      <w:r w:rsidR="0042486B" w:rsidRPr="00467C54">
        <w:rPr>
          <w:rFonts w:asciiTheme="majorHAnsi" w:hAnsiTheme="majorHAnsi"/>
          <w:noProof/>
          <w:lang w:eastAsia="en-GB"/>
        </w:rPr>
        <w:drawing>
          <wp:inline distT="0" distB="0" distL="0" distR="0">
            <wp:extent cx="5731510" cy="8280946"/>
            <wp:effectExtent l="19050" t="0" r="254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srcRect/>
                    <a:stretch>
                      <a:fillRect/>
                    </a:stretch>
                  </pic:blipFill>
                  <pic:spPr bwMode="auto">
                    <a:xfrm>
                      <a:off x="0" y="0"/>
                      <a:ext cx="5731510" cy="8280946"/>
                    </a:xfrm>
                    <a:prstGeom prst="rect">
                      <a:avLst/>
                    </a:prstGeom>
                    <a:noFill/>
                    <a:ln w="9525">
                      <a:noFill/>
                      <a:miter lim="800000"/>
                      <a:headEnd/>
                      <a:tailEnd/>
                    </a:ln>
                  </pic:spPr>
                </pic:pic>
              </a:graphicData>
            </a:graphic>
          </wp:inline>
        </w:drawing>
      </w:r>
      <w:r w:rsidR="0042486B" w:rsidRPr="00467C54">
        <w:rPr>
          <w:rFonts w:asciiTheme="majorHAnsi" w:hAnsiTheme="majorHAnsi"/>
          <w:noProof/>
          <w:lang w:eastAsia="en-GB"/>
        </w:rPr>
        <w:drawing>
          <wp:inline distT="0" distB="0" distL="0" distR="0">
            <wp:extent cx="5705475" cy="83248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5705475" cy="8324850"/>
                    </a:xfrm>
                    <a:prstGeom prst="rect">
                      <a:avLst/>
                    </a:prstGeom>
                    <a:noFill/>
                    <a:ln w="9525">
                      <a:noFill/>
                      <a:miter lim="800000"/>
                      <a:headEnd/>
                      <a:tailEnd/>
                    </a:ln>
                  </pic:spPr>
                </pic:pic>
              </a:graphicData>
            </a:graphic>
          </wp:inline>
        </w:drawing>
      </w:r>
      <w:r w:rsidR="0042486B" w:rsidRPr="00467C54">
        <w:rPr>
          <w:rFonts w:asciiTheme="majorHAnsi" w:hAnsiTheme="majorHAnsi"/>
          <w:noProof/>
          <w:lang w:eastAsia="en-GB"/>
        </w:rPr>
        <w:drawing>
          <wp:inline distT="0" distB="0" distL="0" distR="0">
            <wp:extent cx="5705475" cy="8296275"/>
            <wp:effectExtent l="19050" t="0" r="952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srcRect/>
                    <a:stretch>
                      <a:fillRect/>
                    </a:stretch>
                  </pic:blipFill>
                  <pic:spPr bwMode="auto">
                    <a:xfrm>
                      <a:off x="0" y="0"/>
                      <a:ext cx="5705475" cy="8296275"/>
                    </a:xfrm>
                    <a:prstGeom prst="rect">
                      <a:avLst/>
                    </a:prstGeom>
                    <a:noFill/>
                    <a:ln w="9525">
                      <a:noFill/>
                      <a:miter lim="800000"/>
                      <a:headEnd/>
                      <a:tailEnd/>
                    </a:ln>
                  </pic:spPr>
                </pic:pic>
              </a:graphicData>
            </a:graphic>
          </wp:inline>
        </w:drawing>
      </w:r>
      <w:r w:rsidR="0042486B" w:rsidRPr="00467C54">
        <w:rPr>
          <w:rFonts w:asciiTheme="majorHAnsi" w:hAnsiTheme="majorHAnsi"/>
          <w:noProof/>
          <w:lang w:eastAsia="en-GB"/>
        </w:rPr>
        <w:drawing>
          <wp:inline distT="0" distB="0" distL="0" distR="0">
            <wp:extent cx="5667375" cy="8286750"/>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5667375" cy="8286750"/>
                    </a:xfrm>
                    <a:prstGeom prst="rect">
                      <a:avLst/>
                    </a:prstGeom>
                    <a:noFill/>
                    <a:ln w="9525">
                      <a:noFill/>
                      <a:miter lim="800000"/>
                      <a:headEnd/>
                      <a:tailEnd/>
                    </a:ln>
                  </pic:spPr>
                </pic:pic>
              </a:graphicData>
            </a:graphic>
          </wp:inline>
        </w:drawing>
      </w:r>
      <w:r w:rsidR="00D628ED" w:rsidRPr="00467C54">
        <w:rPr>
          <w:rFonts w:asciiTheme="majorHAnsi" w:hAnsiTheme="majorHAnsi"/>
          <w:lang w:eastAsia="en-GB"/>
        </w:rPr>
        <w:t xml:space="preserve"> </w:t>
      </w:r>
    </w:p>
    <w:p w:rsidR="006334D8" w:rsidRPr="00467C54" w:rsidRDefault="004E16B1" w:rsidP="002D006B">
      <w:pPr>
        <w:pStyle w:val="Heading2"/>
        <w:rPr>
          <w:lang w:eastAsia="en-GB"/>
        </w:rPr>
      </w:pPr>
      <w:r w:rsidRPr="00467C54">
        <w:rPr>
          <w:rFonts w:cstheme="minorHAnsi"/>
        </w:rPr>
        <w:t xml:space="preserve"> </w:t>
      </w:r>
    </w:p>
    <w:sectPr w:rsidR="006334D8" w:rsidRPr="00467C54" w:rsidSect="00CF73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08" w:rsidRDefault="008B7808" w:rsidP="0010709E">
      <w:r>
        <w:separator/>
      </w:r>
    </w:p>
  </w:endnote>
  <w:endnote w:type="continuationSeparator" w:id="0">
    <w:p w:rsidR="008B7808" w:rsidRDefault="008B7808" w:rsidP="0010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F" w:rsidRDefault="003D0D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3033"/>
      <w:docPartObj>
        <w:docPartGallery w:val="Page Numbers (Bottom of Page)"/>
        <w:docPartUnique/>
      </w:docPartObj>
    </w:sdtPr>
    <w:sdtEndPr/>
    <w:sdtContent>
      <w:p w:rsidR="003D0D9F" w:rsidRDefault="003D0D9F">
        <w:pPr>
          <w:pStyle w:val="Footer"/>
          <w:jc w:val="right"/>
        </w:pPr>
        <w:r>
          <w:fldChar w:fldCharType="begin"/>
        </w:r>
        <w:r>
          <w:instrText xml:space="preserve"> PAGE   \* MERGEFORMAT </w:instrText>
        </w:r>
        <w:r>
          <w:fldChar w:fldCharType="separate"/>
        </w:r>
        <w:r w:rsidR="00D367E2">
          <w:rPr>
            <w:noProof/>
          </w:rPr>
          <w:t>1</w:t>
        </w:r>
        <w:r>
          <w:rPr>
            <w:noProof/>
          </w:rPr>
          <w:fldChar w:fldCharType="end"/>
        </w:r>
      </w:p>
    </w:sdtContent>
  </w:sdt>
  <w:p w:rsidR="003D0D9F" w:rsidRDefault="003D0D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F" w:rsidRDefault="003D0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08" w:rsidRDefault="008B7808" w:rsidP="0010709E">
      <w:r>
        <w:separator/>
      </w:r>
    </w:p>
  </w:footnote>
  <w:footnote w:type="continuationSeparator" w:id="0">
    <w:p w:rsidR="008B7808" w:rsidRDefault="008B7808" w:rsidP="0010709E">
      <w:r>
        <w:continuationSeparator/>
      </w:r>
    </w:p>
  </w:footnote>
  <w:footnote w:id="1">
    <w:p w:rsidR="003D0D9F" w:rsidRDefault="003D0D9F">
      <w:pPr>
        <w:pStyle w:val="FootnoteText"/>
      </w:pPr>
      <w:r>
        <w:rPr>
          <w:rStyle w:val="FootnoteReference"/>
        </w:rPr>
        <w:footnoteRef/>
      </w:r>
      <w:r>
        <w:t xml:space="preserve"> </w:t>
      </w:r>
      <w:r w:rsidRPr="00C8561A">
        <w:t>http://www.scotland.gov.uk/Publications/2012/06/9560/5</w:t>
      </w:r>
    </w:p>
  </w:footnote>
  <w:footnote w:id="2">
    <w:p w:rsidR="003D0D9F" w:rsidRPr="00EA18DD" w:rsidRDefault="003D0D9F">
      <w:pPr>
        <w:pStyle w:val="FootnoteText"/>
        <w:rPr>
          <w:lang w:val="en-US"/>
        </w:rPr>
      </w:pPr>
      <w:r w:rsidRPr="00597F25">
        <w:rPr>
          <w:rStyle w:val="FootnoteReference"/>
          <w:vertAlign w:val="baseline"/>
        </w:rPr>
        <w:sym w:font="Symbol" w:char="F02A"/>
      </w:r>
      <w:r w:rsidRPr="00597F25">
        <w:t xml:space="preserve"> </w:t>
      </w:r>
      <w:r w:rsidRPr="00286C52">
        <w:rPr>
          <w:rFonts w:cstheme="minorHAnsi"/>
        </w:rPr>
        <w:t>(</w:t>
      </w:r>
      <w:r w:rsidRPr="00286C52">
        <w:t>42,061/154424)</w:t>
      </w:r>
    </w:p>
  </w:footnote>
  <w:footnote w:id="3">
    <w:p w:rsidR="003D0D9F" w:rsidRPr="00C16EC5" w:rsidRDefault="003D0D9F">
      <w:pPr>
        <w:pStyle w:val="FootnoteText"/>
        <w:rPr>
          <w:lang w:val="en-US"/>
        </w:rPr>
      </w:pPr>
      <w:r w:rsidRPr="00C16EC5">
        <w:rPr>
          <w:rStyle w:val="FootnoteReference"/>
          <w:vertAlign w:val="baseline"/>
        </w:rPr>
        <w:sym w:font="Symbol" w:char="F023"/>
      </w:r>
      <w:r w:rsidRPr="00C16EC5">
        <w:t xml:space="preserve"> Kolmogorov-Smirnov</w:t>
      </w:r>
      <w:r>
        <w:t xml:space="preserve"> both significant p&lt;0.000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F" w:rsidRDefault="003D0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838"/>
      <w:docPartObj>
        <w:docPartGallery w:val="Watermarks"/>
        <w:docPartUnique/>
      </w:docPartObj>
    </w:sdtPr>
    <w:sdtEndPr/>
    <w:sdtContent>
      <w:p w:rsidR="003D0D9F" w:rsidRDefault="00D367E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F" w:rsidRDefault="003D0D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5E7"/>
    <w:multiLevelType w:val="hybridMultilevel"/>
    <w:tmpl w:val="8DB021B8"/>
    <w:lvl w:ilvl="0" w:tplc="0F74296C">
      <w:start w:val="4"/>
      <w:numFmt w:val="decimal"/>
      <w:lvlText w:val="%1)"/>
      <w:lvlJc w:val="left"/>
      <w:pPr>
        <w:ind w:left="720" w:hanging="360"/>
      </w:pPr>
      <w:rPr>
        <w:rFonts w:ascii="Microsoft Sans Serif" w:eastAsia="Times New Roman" w:hAnsi="Microsoft Sans Serif" w:cs="Microsoft Sans Serif"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A70F1"/>
    <w:multiLevelType w:val="hybridMultilevel"/>
    <w:tmpl w:val="43CE9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5AC0F9A"/>
    <w:multiLevelType w:val="hybridMultilevel"/>
    <w:tmpl w:val="89F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C47B1"/>
    <w:multiLevelType w:val="hybridMultilevel"/>
    <w:tmpl w:val="47EE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61295"/>
    <w:multiLevelType w:val="hybridMultilevel"/>
    <w:tmpl w:val="788636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972843"/>
    <w:multiLevelType w:val="hybridMultilevel"/>
    <w:tmpl w:val="934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B0ABD"/>
    <w:multiLevelType w:val="hybridMultilevel"/>
    <w:tmpl w:val="7152C450"/>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213D67C8"/>
    <w:multiLevelType w:val="hybridMultilevel"/>
    <w:tmpl w:val="788636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924FAD"/>
    <w:multiLevelType w:val="hybridMultilevel"/>
    <w:tmpl w:val="73867696"/>
    <w:lvl w:ilvl="0" w:tplc="9FBA125E">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672FBD"/>
    <w:multiLevelType w:val="hybridMultilevel"/>
    <w:tmpl w:val="4EC447A2"/>
    <w:lvl w:ilvl="0" w:tplc="9AA435F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nsid w:val="29FB4F77"/>
    <w:multiLevelType w:val="hybridMultilevel"/>
    <w:tmpl w:val="0E3C66E6"/>
    <w:lvl w:ilvl="0" w:tplc="9FBA125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2AAA6791"/>
    <w:multiLevelType w:val="hybridMultilevel"/>
    <w:tmpl w:val="8DB021B8"/>
    <w:lvl w:ilvl="0" w:tplc="0F74296C">
      <w:start w:val="4"/>
      <w:numFmt w:val="decimal"/>
      <w:lvlText w:val="%1)"/>
      <w:lvlJc w:val="left"/>
      <w:pPr>
        <w:ind w:left="720" w:hanging="360"/>
      </w:pPr>
      <w:rPr>
        <w:rFonts w:ascii="Microsoft Sans Serif" w:eastAsia="Times New Roman" w:hAnsi="Microsoft Sans Serif" w:cs="Microsoft Sans Serif"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AB51F2"/>
    <w:multiLevelType w:val="hybridMultilevel"/>
    <w:tmpl w:val="142C3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A975FA8"/>
    <w:multiLevelType w:val="hybridMultilevel"/>
    <w:tmpl w:val="EF14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F03EF2"/>
    <w:multiLevelType w:val="hybridMultilevel"/>
    <w:tmpl w:val="0CC8B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154899"/>
    <w:multiLevelType w:val="hybridMultilevel"/>
    <w:tmpl w:val="BBD43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172CAC"/>
    <w:multiLevelType w:val="hybridMultilevel"/>
    <w:tmpl w:val="F202CB18"/>
    <w:lvl w:ilvl="0" w:tplc="9FBA125E">
      <w:start w:val="1"/>
      <w:numFmt w:val="decimal"/>
      <w:lvlText w:val="%1."/>
      <w:lvlJc w:val="left"/>
      <w:pPr>
        <w:ind w:left="4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3ED35CB1"/>
    <w:multiLevelType w:val="hybridMultilevel"/>
    <w:tmpl w:val="123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A25B4"/>
    <w:multiLevelType w:val="hybridMultilevel"/>
    <w:tmpl w:val="52C0F2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9FC199A"/>
    <w:multiLevelType w:val="hybridMultilevel"/>
    <w:tmpl w:val="E8B2BC3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AE73C03"/>
    <w:multiLevelType w:val="hybridMultilevel"/>
    <w:tmpl w:val="F00452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B455BC4"/>
    <w:multiLevelType w:val="hybridMultilevel"/>
    <w:tmpl w:val="729E9C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1254F7"/>
    <w:multiLevelType w:val="hybridMultilevel"/>
    <w:tmpl w:val="AA08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E3627C"/>
    <w:multiLevelType w:val="hybridMultilevel"/>
    <w:tmpl w:val="09FA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CB1201"/>
    <w:multiLevelType w:val="hybridMultilevel"/>
    <w:tmpl w:val="B1EACC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28256B"/>
    <w:multiLevelType w:val="hybridMultilevel"/>
    <w:tmpl w:val="8ADCB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8737EA"/>
    <w:multiLevelType w:val="hybridMultilevel"/>
    <w:tmpl w:val="784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603224"/>
    <w:multiLevelType w:val="hybridMultilevel"/>
    <w:tmpl w:val="92C87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212578"/>
    <w:multiLevelType w:val="hybridMultilevel"/>
    <w:tmpl w:val="711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3D5D1B"/>
    <w:multiLevelType w:val="hybridMultilevel"/>
    <w:tmpl w:val="182E13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6D0523EA"/>
    <w:multiLevelType w:val="hybridMultilevel"/>
    <w:tmpl w:val="92C87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3C771F"/>
    <w:multiLevelType w:val="hybridMultilevel"/>
    <w:tmpl w:val="41EA3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B74133"/>
    <w:multiLevelType w:val="hybridMultilevel"/>
    <w:tmpl w:val="25C2E1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DA2A37"/>
    <w:multiLevelType w:val="hybridMultilevel"/>
    <w:tmpl w:val="0CE8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5"/>
  </w:num>
  <w:num w:numId="4">
    <w:abstractNumId w:val="14"/>
  </w:num>
  <w:num w:numId="5">
    <w:abstractNumId w:val="9"/>
  </w:num>
  <w:num w:numId="6">
    <w:abstractNumId w:val="7"/>
  </w:num>
  <w:num w:numId="7">
    <w:abstractNumId w:val="26"/>
  </w:num>
  <w:num w:numId="8">
    <w:abstractNumId w:val="2"/>
  </w:num>
  <w:num w:numId="9">
    <w:abstractNumId w:val="4"/>
  </w:num>
  <w:num w:numId="10">
    <w:abstractNumId w:val="20"/>
  </w:num>
  <w:num w:numId="11">
    <w:abstractNumId w:val="18"/>
  </w:num>
  <w:num w:numId="12">
    <w:abstractNumId w:val="10"/>
  </w:num>
  <w:num w:numId="13">
    <w:abstractNumId w:val="8"/>
  </w:num>
  <w:num w:numId="14">
    <w:abstractNumId w:val="16"/>
  </w:num>
  <w:num w:numId="15">
    <w:abstractNumId w:val="6"/>
  </w:num>
  <w:num w:numId="16">
    <w:abstractNumId w:val="32"/>
  </w:num>
  <w:num w:numId="17">
    <w:abstractNumId w:val="31"/>
  </w:num>
  <w:num w:numId="18">
    <w:abstractNumId w:val="21"/>
  </w:num>
  <w:num w:numId="19">
    <w:abstractNumId w:val="13"/>
  </w:num>
  <w:num w:numId="20">
    <w:abstractNumId w:val="0"/>
  </w:num>
  <w:num w:numId="21">
    <w:abstractNumId w:val="12"/>
  </w:num>
  <w:num w:numId="22">
    <w:abstractNumId w:val="11"/>
  </w:num>
  <w:num w:numId="23">
    <w:abstractNumId w:val="28"/>
  </w:num>
  <w:num w:numId="24">
    <w:abstractNumId w:val="22"/>
  </w:num>
  <w:num w:numId="25">
    <w:abstractNumId w:val="5"/>
  </w:num>
  <w:num w:numId="26">
    <w:abstractNumId w:val="17"/>
  </w:num>
  <w:num w:numId="27">
    <w:abstractNumId w:val="27"/>
  </w:num>
  <w:num w:numId="28">
    <w:abstractNumId w:val="33"/>
  </w:num>
  <w:num w:numId="29">
    <w:abstractNumId w:val="19"/>
  </w:num>
  <w:num w:numId="30">
    <w:abstractNumId w:val="24"/>
  </w:num>
  <w:num w:numId="31">
    <w:abstractNumId w:val="30"/>
  </w:num>
  <w:num w:numId="32">
    <w:abstractNumId w:val="23"/>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02"/>
    <w:rsid w:val="0000414B"/>
    <w:rsid w:val="00006558"/>
    <w:rsid w:val="00011E28"/>
    <w:rsid w:val="00013E73"/>
    <w:rsid w:val="0002059F"/>
    <w:rsid w:val="00023CE0"/>
    <w:rsid w:val="00024F81"/>
    <w:rsid w:val="00027DAC"/>
    <w:rsid w:val="000335FE"/>
    <w:rsid w:val="00036B2C"/>
    <w:rsid w:val="0004197B"/>
    <w:rsid w:val="000470CA"/>
    <w:rsid w:val="000501DF"/>
    <w:rsid w:val="00050A8A"/>
    <w:rsid w:val="00053EE1"/>
    <w:rsid w:val="00063553"/>
    <w:rsid w:val="000638B1"/>
    <w:rsid w:val="0006696D"/>
    <w:rsid w:val="0006699A"/>
    <w:rsid w:val="00066B3F"/>
    <w:rsid w:val="000724E9"/>
    <w:rsid w:val="000769F5"/>
    <w:rsid w:val="00081F87"/>
    <w:rsid w:val="00082F72"/>
    <w:rsid w:val="0008603A"/>
    <w:rsid w:val="000906F0"/>
    <w:rsid w:val="00090755"/>
    <w:rsid w:val="00094D80"/>
    <w:rsid w:val="000A45BB"/>
    <w:rsid w:val="000A4699"/>
    <w:rsid w:val="000A686C"/>
    <w:rsid w:val="000B0273"/>
    <w:rsid w:val="000B3361"/>
    <w:rsid w:val="000B3AAF"/>
    <w:rsid w:val="000B607F"/>
    <w:rsid w:val="000B7B55"/>
    <w:rsid w:val="000C0753"/>
    <w:rsid w:val="000C2FA8"/>
    <w:rsid w:val="000C48AB"/>
    <w:rsid w:val="000C66FF"/>
    <w:rsid w:val="000C6C67"/>
    <w:rsid w:val="000E0340"/>
    <w:rsid w:val="000E1839"/>
    <w:rsid w:val="000E3CCA"/>
    <w:rsid w:val="000E75BD"/>
    <w:rsid w:val="000E7848"/>
    <w:rsid w:val="000E7A66"/>
    <w:rsid w:val="000F0F5F"/>
    <w:rsid w:val="000F3EAF"/>
    <w:rsid w:val="000F6D8A"/>
    <w:rsid w:val="000F7476"/>
    <w:rsid w:val="001013DA"/>
    <w:rsid w:val="0010307D"/>
    <w:rsid w:val="0010496F"/>
    <w:rsid w:val="0010709E"/>
    <w:rsid w:val="00107A9B"/>
    <w:rsid w:val="00111054"/>
    <w:rsid w:val="0011287F"/>
    <w:rsid w:val="00113E91"/>
    <w:rsid w:val="00114FBA"/>
    <w:rsid w:val="0012011F"/>
    <w:rsid w:val="001208DE"/>
    <w:rsid w:val="00121A8D"/>
    <w:rsid w:val="00122F2C"/>
    <w:rsid w:val="0012462A"/>
    <w:rsid w:val="00124ED3"/>
    <w:rsid w:val="001257FC"/>
    <w:rsid w:val="00131DC2"/>
    <w:rsid w:val="001356EB"/>
    <w:rsid w:val="001356F4"/>
    <w:rsid w:val="00137E66"/>
    <w:rsid w:val="00141D9D"/>
    <w:rsid w:val="0014674F"/>
    <w:rsid w:val="001468D3"/>
    <w:rsid w:val="00146D90"/>
    <w:rsid w:val="00154332"/>
    <w:rsid w:val="00154817"/>
    <w:rsid w:val="001570AB"/>
    <w:rsid w:val="001638E7"/>
    <w:rsid w:val="00170741"/>
    <w:rsid w:val="00170B15"/>
    <w:rsid w:val="00173375"/>
    <w:rsid w:val="00173992"/>
    <w:rsid w:val="00175FDB"/>
    <w:rsid w:val="00181FAC"/>
    <w:rsid w:val="00187081"/>
    <w:rsid w:val="001930E6"/>
    <w:rsid w:val="00193A49"/>
    <w:rsid w:val="001A0CA2"/>
    <w:rsid w:val="001A15A0"/>
    <w:rsid w:val="001A15C1"/>
    <w:rsid w:val="001A351C"/>
    <w:rsid w:val="001B0018"/>
    <w:rsid w:val="001B1444"/>
    <w:rsid w:val="001B1A6F"/>
    <w:rsid w:val="001B4302"/>
    <w:rsid w:val="001B4F75"/>
    <w:rsid w:val="001B7C68"/>
    <w:rsid w:val="001C2107"/>
    <w:rsid w:val="001C39B6"/>
    <w:rsid w:val="001C5B59"/>
    <w:rsid w:val="001C6AAF"/>
    <w:rsid w:val="001C7D2A"/>
    <w:rsid w:val="001D095E"/>
    <w:rsid w:val="001D258F"/>
    <w:rsid w:val="001D2994"/>
    <w:rsid w:val="001D42FC"/>
    <w:rsid w:val="001D52B0"/>
    <w:rsid w:val="001E18CF"/>
    <w:rsid w:val="001E3596"/>
    <w:rsid w:val="001E3CF5"/>
    <w:rsid w:val="001E4016"/>
    <w:rsid w:val="001E4EC6"/>
    <w:rsid w:val="001E5C92"/>
    <w:rsid w:val="001E5E3B"/>
    <w:rsid w:val="001F0F5C"/>
    <w:rsid w:val="001F0FF0"/>
    <w:rsid w:val="001F1D2E"/>
    <w:rsid w:val="001F25C4"/>
    <w:rsid w:val="001F57DD"/>
    <w:rsid w:val="001F60CA"/>
    <w:rsid w:val="001F71B4"/>
    <w:rsid w:val="001F7885"/>
    <w:rsid w:val="002068C9"/>
    <w:rsid w:val="00217E09"/>
    <w:rsid w:val="002216F3"/>
    <w:rsid w:val="00222B6D"/>
    <w:rsid w:val="002245A3"/>
    <w:rsid w:val="0022505B"/>
    <w:rsid w:val="00225904"/>
    <w:rsid w:val="00226CD2"/>
    <w:rsid w:val="00230C7E"/>
    <w:rsid w:val="0023740F"/>
    <w:rsid w:val="002375FD"/>
    <w:rsid w:val="00237DDD"/>
    <w:rsid w:val="00241763"/>
    <w:rsid w:val="00247323"/>
    <w:rsid w:val="0025155A"/>
    <w:rsid w:val="002517EB"/>
    <w:rsid w:val="00255FF3"/>
    <w:rsid w:val="002579DE"/>
    <w:rsid w:val="0026343F"/>
    <w:rsid w:val="00263F4E"/>
    <w:rsid w:val="00263F52"/>
    <w:rsid w:val="002674ED"/>
    <w:rsid w:val="00270619"/>
    <w:rsid w:val="00272717"/>
    <w:rsid w:val="00273E43"/>
    <w:rsid w:val="002762E0"/>
    <w:rsid w:val="00280F9A"/>
    <w:rsid w:val="00286C52"/>
    <w:rsid w:val="00292113"/>
    <w:rsid w:val="00295752"/>
    <w:rsid w:val="00295AC5"/>
    <w:rsid w:val="002965C4"/>
    <w:rsid w:val="002A07D3"/>
    <w:rsid w:val="002A1247"/>
    <w:rsid w:val="002A6C4C"/>
    <w:rsid w:val="002A7EA5"/>
    <w:rsid w:val="002B1A12"/>
    <w:rsid w:val="002B20AA"/>
    <w:rsid w:val="002B2FEA"/>
    <w:rsid w:val="002B44A2"/>
    <w:rsid w:val="002B5763"/>
    <w:rsid w:val="002B6316"/>
    <w:rsid w:val="002C1602"/>
    <w:rsid w:val="002C7BE9"/>
    <w:rsid w:val="002D006B"/>
    <w:rsid w:val="002D060C"/>
    <w:rsid w:val="002D3189"/>
    <w:rsid w:val="002D503A"/>
    <w:rsid w:val="002D6F68"/>
    <w:rsid w:val="002D7B60"/>
    <w:rsid w:val="002E1A69"/>
    <w:rsid w:val="002E2E09"/>
    <w:rsid w:val="002E7EB9"/>
    <w:rsid w:val="002F079F"/>
    <w:rsid w:val="002F26B6"/>
    <w:rsid w:val="002F27D4"/>
    <w:rsid w:val="003018A1"/>
    <w:rsid w:val="003045C8"/>
    <w:rsid w:val="00305E61"/>
    <w:rsid w:val="00306AEB"/>
    <w:rsid w:val="00310660"/>
    <w:rsid w:val="0031139A"/>
    <w:rsid w:val="00311787"/>
    <w:rsid w:val="00311838"/>
    <w:rsid w:val="00313DAE"/>
    <w:rsid w:val="003160F7"/>
    <w:rsid w:val="00333B92"/>
    <w:rsid w:val="00337B4E"/>
    <w:rsid w:val="003505B0"/>
    <w:rsid w:val="00357F8B"/>
    <w:rsid w:val="00363B89"/>
    <w:rsid w:val="003648E1"/>
    <w:rsid w:val="003652F0"/>
    <w:rsid w:val="00365FA7"/>
    <w:rsid w:val="003712C9"/>
    <w:rsid w:val="0037230C"/>
    <w:rsid w:val="00376BFA"/>
    <w:rsid w:val="00390E4E"/>
    <w:rsid w:val="003941AA"/>
    <w:rsid w:val="00397FBA"/>
    <w:rsid w:val="003A1536"/>
    <w:rsid w:val="003A40B0"/>
    <w:rsid w:val="003A753D"/>
    <w:rsid w:val="003B026D"/>
    <w:rsid w:val="003B34C0"/>
    <w:rsid w:val="003B562B"/>
    <w:rsid w:val="003B620F"/>
    <w:rsid w:val="003B646C"/>
    <w:rsid w:val="003C1296"/>
    <w:rsid w:val="003C12F8"/>
    <w:rsid w:val="003C3798"/>
    <w:rsid w:val="003C46D3"/>
    <w:rsid w:val="003C715C"/>
    <w:rsid w:val="003C7EF1"/>
    <w:rsid w:val="003D07AD"/>
    <w:rsid w:val="003D0D9F"/>
    <w:rsid w:val="003D55DB"/>
    <w:rsid w:val="003D65FC"/>
    <w:rsid w:val="003D78F9"/>
    <w:rsid w:val="003E0580"/>
    <w:rsid w:val="003E0BB4"/>
    <w:rsid w:val="003E2E79"/>
    <w:rsid w:val="003F737B"/>
    <w:rsid w:val="00400E0B"/>
    <w:rsid w:val="00402429"/>
    <w:rsid w:val="004024CE"/>
    <w:rsid w:val="00403F0F"/>
    <w:rsid w:val="00411B5D"/>
    <w:rsid w:val="004149F1"/>
    <w:rsid w:val="004229F0"/>
    <w:rsid w:val="0042486B"/>
    <w:rsid w:val="004251C4"/>
    <w:rsid w:val="00437BC8"/>
    <w:rsid w:val="004401D3"/>
    <w:rsid w:val="0044038F"/>
    <w:rsid w:val="00440B02"/>
    <w:rsid w:val="004415CB"/>
    <w:rsid w:val="00441738"/>
    <w:rsid w:val="004422DB"/>
    <w:rsid w:val="004515CF"/>
    <w:rsid w:val="00452B59"/>
    <w:rsid w:val="00455FBF"/>
    <w:rsid w:val="00456F9A"/>
    <w:rsid w:val="00457026"/>
    <w:rsid w:val="004576A9"/>
    <w:rsid w:val="004604EF"/>
    <w:rsid w:val="00461018"/>
    <w:rsid w:val="004614C5"/>
    <w:rsid w:val="00467C54"/>
    <w:rsid w:val="00471100"/>
    <w:rsid w:val="0047355F"/>
    <w:rsid w:val="00473F31"/>
    <w:rsid w:val="00482D2B"/>
    <w:rsid w:val="004868F6"/>
    <w:rsid w:val="0048731E"/>
    <w:rsid w:val="004909C1"/>
    <w:rsid w:val="00491198"/>
    <w:rsid w:val="00491952"/>
    <w:rsid w:val="00495F3F"/>
    <w:rsid w:val="00495F5A"/>
    <w:rsid w:val="00496101"/>
    <w:rsid w:val="004976FC"/>
    <w:rsid w:val="00497846"/>
    <w:rsid w:val="004A02C8"/>
    <w:rsid w:val="004A39D8"/>
    <w:rsid w:val="004A7772"/>
    <w:rsid w:val="004B464C"/>
    <w:rsid w:val="004B4E4D"/>
    <w:rsid w:val="004B6997"/>
    <w:rsid w:val="004B6F21"/>
    <w:rsid w:val="004C17B6"/>
    <w:rsid w:val="004C6115"/>
    <w:rsid w:val="004C6946"/>
    <w:rsid w:val="004D4228"/>
    <w:rsid w:val="004D6347"/>
    <w:rsid w:val="004D6CA2"/>
    <w:rsid w:val="004E0B3B"/>
    <w:rsid w:val="004E0CB7"/>
    <w:rsid w:val="004E16B1"/>
    <w:rsid w:val="004E453D"/>
    <w:rsid w:val="004E6E1F"/>
    <w:rsid w:val="004F0E6C"/>
    <w:rsid w:val="004F25FB"/>
    <w:rsid w:val="0050143E"/>
    <w:rsid w:val="00501CF4"/>
    <w:rsid w:val="005103C3"/>
    <w:rsid w:val="005113EE"/>
    <w:rsid w:val="005149DF"/>
    <w:rsid w:val="00522E8C"/>
    <w:rsid w:val="0053090B"/>
    <w:rsid w:val="005347FC"/>
    <w:rsid w:val="00540568"/>
    <w:rsid w:val="00542387"/>
    <w:rsid w:val="00542837"/>
    <w:rsid w:val="00542EEC"/>
    <w:rsid w:val="00545197"/>
    <w:rsid w:val="00550A3A"/>
    <w:rsid w:val="00554E3C"/>
    <w:rsid w:val="005575B4"/>
    <w:rsid w:val="00561F7E"/>
    <w:rsid w:val="00565011"/>
    <w:rsid w:val="005670F5"/>
    <w:rsid w:val="005679DF"/>
    <w:rsid w:val="00572CFB"/>
    <w:rsid w:val="005755D0"/>
    <w:rsid w:val="00575666"/>
    <w:rsid w:val="0058630F"/>
    <w:rsid w:val="00591C88"/>
    <w:rsid w:val="00591EC7"/>
    <w:rsid w:val="0059211D"/>
    <w:rsid w:val="00592CD1"/>
    <w:rsid w:val="00594146"/>
    <w:rsid w:val="00597F25"/>
    <w:rsid w:val="005A0156"/>
    <w:rsid w:val="005A2F26"/>
    <w:rsid w:val="005A6BE4"/>
    <w:rsid w:val="005A6CD9"/>
    <w:rsid w:val="005B53D7"/>
    <w:rsid w:val="005B5B9C"/>
    <w:rsid w:val="005B6CF3"/>
    <w:rsid w:val="005C0719"/>
    <w:rsid w:val="005C0BAA"/>
    <w:rsid w:val="005C2B13"/>
    <w:rsid w:val="005C2F4D"/>
    <w:rsid w:val="005C2F69"/>
    <w:rsid w:val="005C5018"/>
    <w:rsid w:val="005D2645"/>
    <w:rsid w:val="005D3D21"/>
    <w:rsid w:val="005D500B"/>
    <w:rsid w:val="005D76A2"/>
    <w:rsid w:val="005E571E"/>
    <w:rsid w:val="005E5BC2"/>
    <w:rsid w:val="005E6364"/>
    <w:rsid w:val="005E6C83"/>
    <w:rsid w:val="005E703F"/>
    <w:rsid w:val="005F0CCB"/>
    <w:rsid w:val="005F2AD5"/>
    <w:rsid w:val="005F378B"/>
    <w:rsid w:val="005F3872"/>
    <w:rsid w:val="005F4588"/>
    <w:rsid w:val="005F5238"/>
    <w:rsid w:val="005F5364"/>
    <w:rsid w:val="005F595D"/>
    <w:rsid w:val="005F6E8D"/>
    <w:rsid w:val="00600BF0"/>
    <w:rsid w:val="00601C83"/>
    <w:rsid w:val="00603682"/>
    <w:rsid w:val="0060770C"/>
    <w:rsid w:val="006103DB"/>
    <w:rsid w:val="0061153C"/>
    <w:rsid w:val="00612DEB"/>
    <w:rsid w:val="00613187"/>
    <w:rsid w:val="00613898"/>
    <w:rsid w:val="00614282"/>
    <w:rsid w:val="0061579F"/>
    <w:rsid w:val="00615DC2"/>
    <w:rsid w:val="00617D06"/>
    <w:rsid w:val="00623844"/>
    <w:rsid w:val="0062500F"/>
    <w:rsid w:val="00625ED5"/>
    <w:rsid w:val="0062633C"/>
    <w:rsid w:val="0062742C"/>
    <w:rsid w:val="006334D8"/>
    <w:rsid w:val="006334DC"/>
    <w:rsid w:val="00637A2B"/>
    <w:rsid w:val="00640C5F"/>
    <w:rsid w:val="00641AA2"/>
    <w:rsid w:val="0064231F"/>
    <w:rsid w:val="00647D48"/>
    <w:rsid w:val="00651325"/>
    <w:rsid w:val="00653637"/>
    <w:rsid w:val="00653FCC"/>
    <w:rsid w:val="0065431A"/>
    <w:rsid w:val="00662E54"/>
    <w:rsid w:val="00667526"/>
    <w:rsid w:val="00667BA4"/>
    <w:rsid w:val="006721EF"/>
    <w:rsid w:val="00674EA9"/>
    <w:rsid w:val="006763DE"/>
    <w:rsid w:val="00680520"/>
    <w:rsid w:val="00681847"/>
    <w:rsid w:val="00682376"/>
    <w:rsid w:val="006823E1"/>
    <w:rsid w:val="00682736"/>
    <w:rsid w:val="00683CDC"/>
    <w:rsid w:val="00686A80"/>
    <w:rsid w:val="00687D3D"/>
    <w:rsid w:val="00690731"/>
    <w:rsid w:val="00694568"/>
    <w:rsid w:val="00697040"/>
    <w:rsid w:val="006A00CA"/>
    <w:rsid w:val="006A09B0"/>
    <w:rsid w:val="006A500E"/>
    <w:rsid w:val="006B0D72"/>
    <w:rsid w:val="006B1026"/>
    <w:rsid w:val="006B2542"/>
    <w:rsid w:val="006B3BD2"/>
    <w:rsid w:val="006B6B34"/>
    <w:rsid w:val="006C0185"/>
    <w:rsid w:val="006C49A4"/>
    <w:rsid w:val="006E01B6"/>
    <w:rsid w:val="006E2061"/>
    <w:rsid w:val="006E23B7"/>
    <w:rsid w:val="006E4BFE"/>
    <w:rsid w:val="006E4C2E"/>
    <w:rsid w:val="006E79C3"/>
    <w:rsid w:val="006F26BD"/>
    <w:rsid w:val="006F4917"/>
    <w:rsid w:val="006F4A9D"/>
    <w:rsid w:val="006F4CB2"/>
    <w:rsid w:val="006F5E20"/>
    <w:rsid w:val="006F6711"/>
    <w:rsid w:val="006F7CDC"/>
    <w:rsid w:val="00703AFA"/>
    <w:rsid w:val="0070428E"/>
    <w:rsid w:val="00705294"/>
    <w:rsid w:val="00707EEB"/>
    <w:rsid w:val="00721DDB"/>
    <w:rsid w:val="007228C5"/>
    <w:rsid w:val="00725BA8"/>
    <w:rsid w:val="00725C15"/>
    <w:rsid w:val="00726789"/>
    <w:rsid w:val="00737F62"/>
    <w:rsid w:val="007426BC"/>
    <w:rsid w:val="007446E7"/>
    <w:rsid w:val="007454C1"/>
    <w:rsid w:val="00746A5D"/>
    <w:rsid w:val="00746FD1"/>
    <w:rsid w:val="0075172D"/>
    <w:rsid w:val="00753A6A"/>
    <w:rsid w:val="00754BCC"/>
    <w:rsid w:val="00762C07"/>
    <w:rsid w:val="00763D9C"/>
    <w:rsid w:val="007706A2"/>
    <w:rsid w:val="00773127"/>
    <w:rsid w:val="00773505"/>
    <w:rsid w:val="00774C3C"/>
    <w:rsid w:val="00775FFE"/>
    <w:rsid w:val="00781A00"/>
    <w:rsid w:val="00781A69"/>
    <w:rsid w:val="007841CF"/>
    <w:rsid w:val="00786CE5"/>
    <w:rsid w:val="00790739"/>
    <w:rsid w:val="00797FD7"/>
    <w:rsid w:val="007A111D"/>
    <w:rsid w:val="007A3A37"/>
    <w:rsid w:val="007A5202"/>
    <w:rsid w:val="007A553C"/>
    <w:rsid w:val="007B0B01"/>
    <w:rsid w:val="007B12AA"/>
    <w:rsid w:val="007C0BAD"/>
    <w:rsid w:val="007C4882"/>
    <w:rsid w:val="007C553D"/>
    <w:rsid w:val="007D01E4"/>
    <w:rsid w:val="007D0FEB"/>
    <w:rsid w:val="007D1366"/>
    <w:rsid w:val="007D1473"/>
    <w:rsid w:val="007D4061"/>
    <w:rsid w:val="007E0175"/>
    <w:rsid w:val="007E248C"/>
    <w:rsid w:val="007E3E4B"/>
    <w:rsid w:val="007E59BD"/>
    <w:rsid w:val="007F5C92"/>
    <w:rsid w:val="008016E7"/>
    <w:rsid w:val="008073AF"/>
    <w:rsid w:val="00810C95"/>
    <w:rsid w:val="008203C9"/>
    <w:rsid w:val="0082147B"/>
    <w:rsid w:val="008219F2"/>
    <w:rsid w:val="00823B2B"/>
    <w:rsid w:val="00826013"/>
    <w:rsid w:val="008260FE"/>
    <w:rsid w:val="008270D0"/>
    <w:rsid w:val="00827EAA"/>
    <w:rsid w:val="00831D0E"/>
    <w:rsid w:val="00834CF8"/>
    <w:rsid w:val="008362BD"/>
    <w:rsid w:val="008417D8"/>
    <w:rsid w:val="00841B86"/>
    <w:rsid w:val="00841FA7"/>
    <w:rsid w:val="0084326D"/>
    <w:rsid w:val="00844D94"/>
    <w:rsid w:val="008467B0"/>
    <w:rsid w:val="008526B6"/>
    <w:rsid w:val="00853D94"/>
    <w:rsid w:val="00855E79"/>
    <w:rsid w:val="00860D71"/>
    <w:rsid w:val="008659F7"/>
    <w:rsid w:val="00866153"/>
    <w:rsid w:val="0086668A"/>
    <w:rsid w:val="00871115"/>
    <w:rsid w:val="00871E4F"/>
    <w:rsid w:val="00876EBB"/>
    <w:rsid w:val="0088136A"/>
    <w:rsid w:val="00884B77"/>
    <w:rsid w:val="00891AD7"/>
    <w:rsid w:val="0089244C"/>
    <w:rsid w:val="00893ABA"/>
    <w:rsid w:val="00894AE8"/>
    <w:rsid w:val="00896AD3"/>
    <w:rsid w:val="008A0899"/>
    <w:rsid w:val="008A18EA"/>
    <w:rsid w:val="008A2FA4"/>
    <w:rsid w:val="008A3DC0"/>
    <w:rsid w:val="008A580D"/>
    <w:rsid w:val="008A7EFA"/>
    <w:rsid w:val="008B147B"/>
    <w:rsid w:val="008B28B4"/>
    <w:rsid w:val="008B6D3F"/>
    <w:rsid w:val="008B7808"/>
    <w:rsid w:val="008C5A45"/>
    <w:rsid w:val="008C6EB8"/>
    <w:rsid w:val="008C7DE5"/>
    <w:rsid w:val="008D049A"/>
    <w:rsid w:val="008D0B05"/>
    <w:rsid w:val="008D18B7"/>
    <w:rsid w:val="008D270E"/>
    <w:rsid w:val="008D3840"/>
    <w:rsid w:val="008D6D18"/>
    <w:rsid w:val="008D702C"/>
    <w:rsid w:val="008E1ECD"/>
    <w:rsid w:val="008E265E"/>
    <w:rsid w:val="008E32F6"/>
    <w:rsid w:val="008F0AAC"/>
    <w:rsid w:val="008F0FC3"/>
    <w:rsid w:val="008F1B86"/>
    <w:rsid w:val="008F3D84"/>
    <w:rsid w:val="008F43DB"/>
    <w:rsid w:val="008F6919"/>
    <w:rsid w:val="009028AB"/>
    <w:rsid w:val="00903F98"/>
    <w:rsid w:val="00904CE4"/>
    <w:rsid w:val="009054A6"/>
    <w:rsid w:val="00905E73"/>
    <w:rsid w:val="00913D64"/>
    <w:rsid w:val="00915D24"/>
    <w:rsid w:val="00915EF6"/>
    <w:rsid w:val="00917C35"/>
    <w:rsid w:val="00920017"/>
    <w:rsid w:val="00921193"/>
    <w:rsid w:val="00924E70"/>
    <w:rsid w:val="00925404"/>
    <w:rsid w:val="00926C52"/>
    <w:rsid w:val="009313A6"/>
    <w:rsid w:val="00933CB5"/>
    <w:rsid w:val="00934B3E"/>
    <w:rsid w:val="00937C9C"/>
    <w:rsid w:val="0094396B"/>
    <w:rsid w:val="009444D3"/>
    <w:rsid w:val="00946240"/>
    <w:rsid w:val="009468D5"/>
    <w:rsid w:val="00946927"/>
    <w:rsid w:val="0094751A"/>
    <w:rsid w:val="009508FC"/>
    <w:rsid w:val="00952398"/>
    <w:rsid w:val="00953A58"/>
    <w:rsid w:val="00953BCB"/>
    <w:rsid w:val="00955CF6"/>
    <w:rsid w:val="00956860"/>
    <w:rsid w:val="00960257"/>
    <w:rsid w:val="009616DE"/>
    <w:rsid w:val="00961F9F"/>
    <w:rsid w:val="009679A3"/>
    <w:rsid w:val="00972F07"/>
    <w:rsid w:val="009730A0"/>
    <w:rsid w:val="00973D0A"/>
    <w:rsid w:val="00981F46"/>
    <w:rsid w:val="0098234F"/>
    <w:rsid w:val="009904FC"/>
    <w:rsid w:val="00990D75"/>
    <w:rsid w:val="00992909"/>
    <w:rsid w:val="009944B7"/>
    <w:rsid w:val="00996775"/>
    <w:rsid w:val="009A27D1"/>
    <w:rsid w:val="009A578B"/>
    <w:rsid w:val="009B1F1E"/>
    <w:rsid w:val="009B2075"/>
    <w:rsid w:val="009B4A74"/>
    <w:rsid w:val="009B7A57"/>
    <w:rsid w:val="009C0697"/>
    <w:rsid w:val="009C3755"/>
    <w:rsid w:val="009C50BA"/>
    <w:rsid w:val="009C7F68"/>
    <w:rsid w:val="009D1749"/>
    <w:rsid w:val="009D4E81"/>
    <w:rsid w:val="009D685E"/>
    <w:rsid w:val="009E14B8"/>
    <w:rsid w:val="009E544C"/>
    <w:rsid w:val="009F6A96"/>
    <w:rsid w:val="00A01C50"/>
    <w:rsid w:val="00A01E93"/>
    <w:rsid w:val="00A028B3"/>
    <w:rsid w:val="00A10F76"/>
    <w:rsid w:val="00A13957"/>
    <w:rsid w:val="00A14BE8"/>
    <w:rsid w:val="00A1606A"/>
    <w:rsid w:val="00A16271"/>
    <w:rsid w:val="00A17C91"/>
    <w:rsid w:val="00A22509"/>
    <w:rsid w:val="00A23861"/>
    <w:rsid w:val="00A23A37"/>
    <w:rsid w:val="00A2445A"/>
    <w:rsid w:val="00A24C10"/>
    <w:rsid w:val="00A25B94"/>
    <w:rsid w:val="00A27178"/>
    <w:rsid w:val="00A31513"/>
    <w:rsid w:val="00A34412"/>
    <w:rsid w:val="00A41BB1"/>
    <w:rsid w:val="00A420DC"/>
    <w:rsid w:val="00A443FD"/>
    <w:rsid w:val="00A45199"/>
    <w:rsid w:val="00A46C0B"/>
    <w:rsid w:val="00A52D49"/>
    <w:rsid w:val="00A530A7"/>
    <w:rsid w:val="00A53F66"/>
    <w:rsid w:val="00A638D0"/>
    <w:rsid w:val="00A63BF7"/>
    <w:rsid w:val="00A648F0"/>
    <w:rsid w:val="00A6538C"/>
    <w:rsid w:val="00A66D72"/>
    <w:rsid w:val="00A7143D"/>
    <w:rsid w:val="00A73940"/>
    <w:rsid w:val="00A75D11"/>
    <w:rsid w:val="00A77250"/>
    <w:rsid w:val="00A77430"/>
    <w:rsid w:val="00A80013"/>
    <w:rsid w:val="00A80A1E"/>
    <w:rsid w:val="00A84D95"/>
    <w:rsid w:val="00A85AF6"/>
    <w:rsid w:val="00A90869"/>
    <w:rsid w:val="00A93601"/>
    <w:rsid w:val="00AA1A7B"/>
    <w:rsid w:val="00AA32BE"/>
    <w:rsid w:val="00AA79C2"/>
    <w:rsid w:val="00AB01ED"/>
    <w:rsid w:val="00AB6CEC"/>
    <w:rsid w:val="00AB75E5"/>
    <w:rsid w:val="00AC19C5"/>
    <w:rsid w:val="00AC2C2E"/>
    <w:rsid w:val="00AC3BB9"/>
    <w:rsid w:val="00AC3DBE"/>
    <w:rsid w:val="00AC7F8B"/>
    <w:rsid w:val="00AD3A3E"/>
    <w:rsid w:val="00AD3DC2"/>
    <w:rsid w:val="00AE08EA"/>
    <w:rsid w:val="00AE731A"/>
    <w:rsid w:val="00AE79CD"/>
    <w:rsid w:val="00AE7A4E"/>
    <w:rsid w:val="00AF04C4"/>
    <w:rsid w:val="00AF39E0"/>
    <w:rsid w:val="00AF53B7"/>
    <w:rsid w:val="00AF5B5B"/>
    <w:rsid w:val="00AF69B1"/>
    <w:rsid w:val="00B0494D"/>
    <w:rsid w:val="00B128D6"/>
    <w:rsid w:val="00B166DF"/>
    <w:rsid w:val="00B21D2D"/>
    <w:rsid w:val="00B230CE"/>
    <w:rsid w:val="00B27583"/>
    <w:rsid w:val="00B27D48"/>
    <w:rsid w:val="00B35919"/>
    <w:rsid w:val="00B35968"/>
    <w:rsid w:val="00B373B0"/>
    <w:rsid w:val="00B40C65"/>
    <w:rsid w:val="00B4159F"/>
    <w:rsid w:val="00B517F2"/>
    <w:rsid w:val="00B52B32"/>
    <w:rsid w:val="00B52C8E"/>
    <w:rsid w:val="00B53CC2"/>
    <w:rsid w:val="00B53EFE"/>
    <w:rsid w:val="00B65D63"/>
    <w:rsid w:val="00B70676"/>
    <w:rsid w:val="00B70720"/>
    <w:rsid w:val="00B71089"/>
    <w:rsid w:val="00B83190"/>
    <w:rsid w:val="00B870A2"/>
    <w:rsid w:val="00B8722A"/>
    <w:rsid w:val="00B90FD0"/>
    <w:rsid w:val="00B953DC"/>
    <w:rsid w:val="00B971C1"/>
    <w:rsid w:val="00B9753D"/>
    <w:rsid w:val="00B97B37"/>
    <w:rsid w:val="00BA07D9"/>
    <w:rsid w:val="00BA1189"/>
    <w:rsid w:val="00BA19D7"/>
    <w:rsid w:val="00BA2D96"/>
    <w:rsid w:val="00BA6763"/>
    <w:rsid w:val="00BA6BF1"/>
    <w:rsid w:val="00BB5B47"/>
    <w:rsid w:val="00BB79F5"/>
    <w:rsid w:val="00BC2D65"/>
    <w:rsid w:val="00BC3F4E"/>
    <w:rsid w:val="00BC4867"/>
    <w:rsid w:val="00BC78EF"/>
    <w:rsid w:val="00BD19FD"/>
    <w:rsid w:val="00BD2065"/>
    <w:rsid w:val="00BD334E"/>
    <w:rsid w:val="00BD65B5"/>
    <w:rsid w:val="00BD668D"/>
    <w:rsid w:val="00BD79B0"/>
    <w:rsid w:val="00BE21E3"/>
    <w:rsid w:val="00BE2A66"/>
    <w:rsid w:val="00BE723E"/>
    <w:rsid w:val="00BE74D6"/>
    <w:rsid w:val="00BF5F7B"/>
    <w:rsid w:val="00C0109A"/>
    <w:rsid w:val="00C01212"/>
    <w:rsid w:val="00C0471D"/>
    <w:rsid w:val="00C0776E"/>
    <w:rsid w:val="00C1332F"/>
    <w:rsid w:val="00C1475E"/>
    <w:rsid w:val="00C16EC5"/>
    <w:rsid w:val="00C17573"/>
    <w:rsid w:val="00C17B18"/>
    <w:rsid w:val="00C22AD4"/>
    <w:rsid w:val="00C24637"/>
    <w:rsid w:val="00C2747F"/>
    <w:rsid w:val="00C31635"/>
    <w:rsid w:val="00C36BEC"/>
    <w:rsid w:val="00C41CA2"/>
    <w:rsid w:val="00C42F62"/>
    <w:rsid w:val="00C4406B"/>
    <w:rsid w:val="00C45EF7"/>
    <w:rsid w:val="00C46274"/>
    <w:rsid w:val="00C4667E"/>
    <w:rsid w:val="00C46D4C"/>
    <w:rsid w:val="00C47A06"/>
    <w:rsid w:val="00C625A1"/>
    <w:rsid w:val="00C645A3"/>
    <w:rsid w:val="00C65DD5"/>
    <w:rsid w:val="00C66F9E"/>
    <w:rsid w:val="00C736CA"/>
    <w:rsid w:val="00C74AA9"/>
    <w:rsid w:val="00C8310A"/>
    <w:rsid w:val="00C8561A"/>
    <w:rsid w:val="00C86696"/>
    <w:rsid w:val="00C93B22"/>
    <w:rsid w:val="00C95B75"/>
    <w:rsid w:val="00CA0492"/>
    <w:rsid w:val="00CA0A53"/>
    <w:rsid w:val="00CA2260"/>
    <w:rsid w:val="00CA3530"/>
    <w:rsid w:val="00CB091E"/>
    <w:rsid w:val="00CB0D06"/>
    <w:rsid w:val="00CB2EC8"/>
    <w:rsid w:val="00CB6CDA"/>
    <w:rsid w:val="00CC6337"/>
    <w:rsid w:val="00CC69AE"/>
    <w:rsid w:val="00CC7757"/>
    <w:rsid w:val="00CD0A50"/>
    <w:rsid w:val="00CD2052"/>
    <w:rsid w:val="00CD3509"/>
    <w:rsid w:val="00CD3667"/>
    <w:rsid w:val="00CD373E"/>
    <w:rsid w:val="00CD44FF"/>
    <w:rsid w:val="00CE2ABA"/>
    <w:rsid w:val="00CE2D7E"/>
    <w:rsid w:val="00CE5D92"/>
    <w:rsid w:val="00CF0A23"/>
    <w:rsid w:val="00CF73C2"/>
    <w:rsid w:val="00CF75D3"/>
    <w:rsid w:val="00D036D4"/>
    <w:rsid w:val="00D1589E"/>
    <w:rsid w:val="00D23377"/>
    <w:rsid w:val="00D24BBE"/>
    <w:rsid w:val="00D27246"/>
    <w:rsid w:val="00D27A11"/>
    <w:rsid w:val="00D321C9"/>
    <w:rsid w:val="00D367E2"/>
    <w:rsid w:val="00D37421"/>
    <w:rsid w:val="00D3773F"/>
    <w:rsid w:val="00D43208"/>
    <w:rsid w:val="00D4643B"/>
    <w:rsid w:val="00D502D1"/>
    <w:rsid w:val="00D50B0C"/>
    <w:rsid w:val="00D57484"/>
    <w:rsid w:val="00D57D28"/>
    <w:rsid w:val="00D61C21"/>
    <w:rsid w:val="00D62539"/>
    <w:rsid w:val="00D628ED"/>
    <w:rsid w:val="00D63768"/>
    <w:rsid w:val="00D66818"/>
    <w:rsid w:val="00D708F6"/>
    <w:rsid w:val="00D77AC5"/>
    <w:rsid w:val="00D81FF7"/>
    <w:rsid w:val="00D845FA"/>
    <w:rsid w:val="00D84A19"/>
    <w:rsid w:val="00D84D05"/>
    <w:rsid w:val="00D9720E"/>
    <w:rsid w:val="00D973B9"/>
    <w:rsid w:val="00DA28BA"/>
    <w:rsid w:val="00DA4806"/>
    <w:rsid w:val="00DA5D24"/>
    <w:rsid w:val="00DA7ED2"/>
    <w:rsid w:val="00DB1162"/>
    <w:rsid w:val="00DB2037"/>
    <w:rsid w:val="00DB6B22"/>
    <w:rsid w:val="00DC1248"/>
    <w:rsid w:val="00DC2A14"/>
    <w:rsid w:val="00DC5235"/>
    <w:rsid w:val="00DC7AA6"/>
    <w:rsid w:val="00DD4E22"/>
    <w:rsid w:val="00DE3056"/>
    <w:rsid w:val="00DE4A04"/>
    <w:rsid w:val="00DE77E0"/>
    <w:rsid w:val="00DE78E0"/>
    <w:rsid w:val="00DF1EFF"/>
    <w:rsid w:val="00E01F07"/>
    <w:rsid w:val="00E05D66"/>
    <w:rsid w:val="00E104FB"/>
    <w:rsid w:val="00E12E09"/>
    <w:rsid w:val="00E2005C"/>
    <w:rsid w:val="00E210B9"/>
    <w:rsid w:val="00E22255"/>
    <w:rsid w:val="00E23561"/>
    <w:rsid w:val="00E268E2"/>
    <w:rsid w:val="00E27239"/>
    <w:rsid w:val="00E2762C"/>
    <w:rsid w:val="00E31CF0"/>
    <w:rsid w:val="00E329C2"/>
    <w:rsid w:val="00E378B5"/>
    <w:rsid w:val="00E417D7"/>
    <w:rsid w:val="00E45F5B"/>
    <w:rsid w:val="00E50B20"/>
    <w:rsid w:val="00E57DAA"/>
    <w:rsid w:val="00E606C3"/>
    <w:rsid w:val="00E6098A"/>
    <w:rsid w:val="00E62F2B"/>
    <w:rsid w:val="00E63AE2"/>
    <w:rsid w:val="00E643CE"/>
    <w:rsid w:val="00E6680B"/>
    <w:rsid w:val="00E7066C"/>
    <w:rsid w:val="00E71B6A"/>
    <w:rsid w:val="00E749E0"/>
    <w:rsid w:val="00E758B0"/>
    <w:rsid w:val="00E77710"/>
    <w:rsid w:val="00E82F01"/>
    <w:rsid w:val="00E831D2"/>
    <w:rsid w:val="00E83B48"/>
    <w:rsid w:val="00E84662"/>
    <w:rsid w:val="00E85C5A"/>
    <w:rsid w:val="00E87375"/>
    <w:rsid w:val="00E8765F"/>
    <w:rsid w:val="00E92F1D"/>
    <w:rsid w:val="00E93EA1"/>
    <w:rsid w:val="00E943E2"/>
    <w:rsid w:val="00E946A5"/>
    <w:rsid w:val="00E95F10"/>
    <w:rsid w:val="00E96ACB"/>
    <w:rsid w:val="00EA0B70"/>
    <w:rsid w:val="00EA18DD"/>
    <w:rsid w:val="00EA228C"/>
    <w:rsid w:val="00EB25FC"/>
    <w:rsid w:val="00EB267E"/>
    <w:rsid w:val="00EB2969"/>
    <w:rsid w:val="00EB75B6"/>
    <w:rsid w:val="00EC05B6"/>
    <w:rsid w:val="00EC3B85"/>
    <w:rsid w:val="00EC444C"/>
    <w:rsid w:val="00EC49D2"/>
    <w:rsid w:val="00ED4635"/>
    <w:rsid w:val="00ED67C1"/>
    <w:rsid w:val="00EE1F55"/>
    <w:rsid w:val="00EE2839"/>
    <w:rsid w:val="00EE3511"/>
    <w:rsid w:val="00EE6D12"/>
    <w:rsid w:val="00EF07BD"/>
    <w:rsid w:val="00EF0B4A"/>
    <w:rsid w:val="00EF6B36"/>
    <w:rsid w:val="00EF6C2E"/>
    <w:rsid w:val="00F00C0D"/>
    <w:rsid w:val="00F101D5"/>
    <w:rsid w:val="00F10EE4"/>
    <w:rsid w:val="00F1119D"/>
    <w:rsid w:val="00F1125E"/>
    <w:rsid w:val="00F1447E"/>
    <w:rsid w:val="00F20314"/>
    <w:rsid w:val="00F20558"/>
    <w:rsid w:val="00F22C95"/>
    <w:rsid w:val="00F31D2B"/>
    <w:rsid w:val="00F36854"/>
    <w:rsid w:val="00F44FEC"/>
    <w:rsid w:val="00F454B1"/>
    <w:rsid w:val="00F51AB0"/>
    <w:rsid w:val="00F55A31"/>
    <w:rsid w:val="00F55E84"/>
    <w:rsid w:val="00F601E7"/>
    <w:rsid w:val="00F61D5F"/>
    <w:rsid w:val="00F647D7"/>
    <w:rsid w:val="00F67334"/>
    <w:rsid w:val="00F72724"/>
    <w:rsid w:val="00F72881"/>
    <w:rsid w:val="00F7592F"/>
    <w:rsid w:val="00F7599D"/>
    <w:rsid w:val="00F8114A"/>
    <w:rsid w:val="00F81F64"/>
    <w:rsid w:val="00F8290C"/>
    <w:rsid w:val="00F8533E"/>
    <w:rsid w:val="00F8792F"/>
    <w:rsid w:val="00F91BDB"/>
    <w:rsid w:val="00F920ED"/>
    <w:rsid w:val="00F923B2"/>
    <w:rsid w:val="00F924EA"/>
    <w:rsid w:val="00F93A30"/>
    <w:rsid w:val="00F95B7B"/>
    <w:rsid w:val="00F95D91"/>
    <w:rsid w:val="00F96F2B"/>
    <w:rsid w:val="00FB1595"/>
    <w:rsid w:val="00FB4D22"/>
    <w:rsid w:val="00FB7A3C"/>
    <w:rsid w:val="00FC18DC"/>
    <w:rsid w:val="00FC2203"/>
    <w:rsid w:val="00FC3901"/>
    <w:rsid w:val="00FC4122"/>
    <w:rsid w:val="00FC4BD4"/>
    <w:rsid w:val="00FC59B9"/>
    <w:rsid w:val="00FD1FA9"/>
    <w:rsid w:val="00FD4C02"/>
    <w:rsid w:val="00FD4F86"/>
    <w:rsid w:val="00FD63EA"/>
    <w:rsid w:val="00FD70A1"/>
    <w:rsid w:val="00FE1189"/>
    <w:rsid w:val="00FE35B1"/>
    <w:rsid w:val="00FE4BC1"/>
    <w:rsid w:val="00FF0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26"/>
  </w:style>
  <w:style w:type="paragraph" w:styleId="Heading1">
    <w:name w:val="heading 1"/>
    <w:basedOn w:val="Normal"/>
    <w:next w:val="Normal"/>
    <w:link w:val="Heading1Char"/>
    <w:uiPriority w:val="9"/>
    <w:qFormat/>
    <w:rsid w:val="00193A49"/>
    <w:pPr>
      <w:keepNext/>
      <w:keepLines/>
      <w:spacing w:before="480" w:line="276" w:lineRule="auto"/>
      <w:jc w:val="left"/>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C2F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1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12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10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A3C"/>
    <w:rPr>
      <w:rFonts w:ascii="Tahoma" w:hAnsi="Tahoma" w:cs="Tahoma"/>
      <w:sz w:val="16"/>
      <w:szCs w:val="16"/>
    </w:rPr>
  </w:style>
  <w:style w:type="character" w:customStyle="1" w:styleId="BalloonTextChar">
    <w:name w:val="Balloon Text Char"/>
    <w:basedOn w:val="DefaultParagraphFont"/>
    <w:link w:val="BalloonText"/>
    <w:uiPriority w:val="99"/>
    <w:semiHidden/>
    <w:rsid w:val="00FB7A3C"/>
    <w:rPr>
      <w:rFonts w:ascii="Tahoma" w:hAnsi="Tahoma" w:cs="Tahoma"/>
      <w:sz w:val="16"/>
      <w:szCs w:val="16"/>
    </w:rPr>
  </w:style>
  <w:style w:type="paragraph" w:styleId="ListParagraph">
    <w:name w:val="List Paragraph"/>
    <w:basedOn w:val="Normal"/>
    <w:uiPriority w:val="34"/>
    <w:qFormat/>
    <w:rsid w:val="00FB7A3C"/>
    <w:pPr>
      <w:ind w:left="720"/>
      <w:contextualSpacing/>
    </w:pPr>
  </w:style>
  <w:style w:type="paragraph" w:styleId="NoSpacing">
    <w:name w:val="No Spacing"/>
    <w:uiPriority w:val="1"/>
    <w:qFormat/>
    <w:rsid w:val="00305E61"/>
  </w:style>
  <w:style w:type="paragraph" w:styleId="Header">
    <w:name w:val="header"/>
    <w:basedOn w:val="Normal"/>
    <w:link w:val="HeaderChar"/>
    <w:uiPriority w:val="99"/>
    <w:unhideWhenUsed/>
    <w:rsid w:val="0010709E"/>
    <w:pPr>
      <w:tabs>
        <w:tab w:val="center" w:pos="4513"/>
        <w:tab w:val="right" w:pos="9026"/>
      </w:tabs>
    </w:pPr>
  </w:style>
  <w:style w:type="character" w:customStyle="1" w:styleId="HeaderChar">
    <w:name w:val="Header Char"/>
    <w:basedOn w:val="DefaultParagraphFont"/>
    <w:link w:val="Header"/>
    <w:uiPriority w:val="99"/>
    <w:rsid w:val="0010709E"/>
  </w:style>
  <w:style w:type="paragraph" w:styleId="Footer">
    <w:name w:val="footer"/>
    <w:basedOn w:val="Normal"/>
    <w:link w:val="FooterChar"/>
    <w:uiPriority w:val="99"/>
    <w:unhideWhenUsed/>
    <w:rsid w:val="0010709E"/>
    <w:pPr>
      <w:tabs>
        <w:tab w:val="center" w:pos="4513"/>
        <w:tab w:val="right" w:pos="9026"/>
      </w:tabs>
    </w:pPr>
  </w:style>
  <w:style w:type="character" w:customStyle="1" w:styleId="FooterChar">
    <w:name w:val="Footer Char"/>
    <w:basedOn w:val="DefaultParagraphFont"/>
    <w:link w:val="Footer"/>
    <w:uiPriority w:val="99"/>
    <w:rsid w:val="0010709E"/>
  </w:style>
  <w:style w:type="table" w:styleId="TableGrid">
    <w:name w:val="Table Grid"/>
    <w:basedOn w:val="TableNormal"/>
    <w:uiPriority w:val="59"/>
    <w:rsid w:val="006E0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B97B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C8561A"/>
    <w:rPr>
      <w:sz w:val="20"/>
      <w:szCs w:val="20"/>
    </w:rPr>
  </w:style>
  <w:style w:type="character" w:customStyle="1" w:styleId="FootnoteTextChar">
    <w:name w:val="Footnote Text Char"/>
    <w:basedOn w:val="DefaultParagraphFont"/>
    <w:link w:val="FootnoteText"/>
    <w:uiPriority w:val="99"/>
    <w:rsid w:val="00C8561A"/>
    <w:rPr>
      <w:sz w:val="20"/>
      <w:szCs w:val="20"/>
    </w:rPr>
  </w:style>
  <w:style w:type="character" w:styleId="FootnoteReference">
    <w:name w:val="footnote reference"/>
    <w:basedOn w:val="DefaultParagraphFont"/>
    <w:uiPriority w:val="99"/>
    <w:unhideWhenUsed/>
    <w:rsid w:val="00C8561A"/>
    <w:rPr>
      <w:vertAlign w:val="superscript"/>
    </w:rPr>
  </w:style>
  <w:style w:type="paragraph" w:styleId="NormalWeb">
    <w:name w:val="Normal (Web)"/>
    <w:basedOn w:val="Normal"/>
    <w:uiPriority w:val="99"/>
    <w:unhideWhenUsed/>
    <w:rsid w:val="008D3840"/>
    <w:pPr>
      <w:spacing w:before="100" w:beforeAutospacing="1" w:after="100" w:afterAutospacing="1"/>
      <w:jc w:val="left"/>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93A49"/>
    <w:rPr>
      <w:rFonts w:ascii="Cambria" w:eastAsia="Times New Roman" w:hAnsi="Cambria" w:cs="Times New Roman"/>
      <w:b/>
      <w:bCs/>
      <w:color w:val="365F91"/>
      <w:sz w:val="28"/>
      <w:szCs w:val="28"/>
    </w:rPr>
  </w:style>
  <w:style w:type="paragraph" w:customStyle="1" w:styleId="Indent">
    <w:name w:val="Indent"/>
    <w:basedOn w:val="Normal"/>
    <w:link w:val="IndentChar"/>
    <w:uiPriority w:val="99"/>
    <w:qFormat/>
    <w:rsid w:val="00E95F10"/>
    <w:pPr>
      <w:autoSpaceDE w:val="0"/>
      <w:autoSpaceDN w:val="0"/>
      <w:adjustRightInd w:val="0"/>
      <w:spacing w:after="120"/>
      <w:ind w:left="992"/>
      <w:jc w:val="left"/>
    </w:pPr>
    <w:rPr>
      <w:rFonts w:asciiTheme="majorHAnsi" w:eastAsiaTheme="majorEastAsia" w:hAnsiTheme="majorHAnsi" w:cs="Arial"/>
      <w:i/>
      <w:lang w:val="en-US" w:eastAsia="en-GB" w:bidi="en-US"/>
    </w:rPr>
  </w:style>
  <w:style w:type="character" w:customStyle="1" w:styleId="IndentChar">
    <w:name w:val="Indent Char"/>
    <w:basedOn w:val="DefaultParagraphFont"/>
    <w:link w:val="Indent"/>
    <w:uiPriority w:val="99"/>
    <w:rsid w:val="00E95F10"/>
    <w:rPr>
      <w:rFonts w:asciiTheme="majorHAnsi" w:eastAsiaTheme="majorEastAsia" w:hAnsiTheme="majorHAnsi" w:cs="Arial"/>
      <w:i/>
      <w:lang w:val="en-US" w:eastAsia="en-GB" w:bidi="en-US"/>
    </w:rPr>
  </w:style>
  <w:style w:type="character" w:customStyle="1" w:styleId="Heading2Char">
    <w:name w:val="Heading 2 Char"/>
    <w:basedOn w:val="DefaultParagraphFont"/>
    <w:link w:val="Heading2"/>
    <w:uiPriority w:val="9"/>
    <w:rsid w:val="005C2F6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C0185"/>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6C0185"/>
    <w:pPr>
      <w:spacing w:after="100"/>
      <w:ind w:left="220"/>
    </w:pPr>
  </w:style>
  <w:style w:type="character" w:styleId="Hyperlink">
    <w:name w:val="Hyperlink"/>
    <w:basedOn w:val="DefaultParagraphFont"/>
    <w:uiPriority w:val="99"/>
    <w:unhideWhenUsed/>
    <w:rsid w:val="006C0185"/>
    <w:rPr>
      <w:color w:val="0000FF" w:themeColor="hyperlink"/>
      <w:u w:val="single"/>
    </w:rPr>
  </w:style>
  <w:style w:type="character" w:customStyle="1" w:styleId="Heading3Char">
    <w:name w:val="Heading 3 Char"/>
    <w:basedOn w:val="DefaultParagraphFont"/>
    <w:link w:val="Heading3"/>
    <w:uiPriority w:val="9"/>
    <w:rsid w:val="006C018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755D0"/>
    <w:pPr>
      <w:spacing w:after="100"/>
      <w:ind w:left="440"/>
    </w:pPr>
  </w:style>
  <w:style w:type="character" w:customStyle="1" w:styleId="Heading4Char">
    <w:name w:val="Heading 4 Char"/>
    <w:basedOn w:val="DefaultParagraphFont"/>
    <w:link w:val="Heading4"/>
    <w:uiPriority w:val="9"/>
    <w:rsid w:val="00C01212"/>
    <w:rPr>
      <w:rFonts w:asciiTheme="majorHAnsi" w:eastAsiaTheme="majorEastAsia" w:hAnsiTheme="majorHAnsi" w:cstheme="majorBidi"/>
      <w:b/>
      <w:bCs/>
      <w:i/>
      <w:iCs/>
      <w:color w:val="4F81BD" w:themeColor="accent1"/>
    </w:rPr>
  </w:style>
  <w:style w:type="paragraph" w:styleId="TableofFigures">
    <w:name w:val="table of figures"/>
    <w:basedOn w:val="Normal"/>
    <w:next w:val="Normal"/>
    <w:uiPriority w:val="99"/>
    <w:unhideWhenUsed/>
    <w:rsid w:val="00C01212"/>
  </w:style>
  <w:style w:type="character" w:customStyle="1" w:styleId="Heading5Char">
    <w:name w:val="Heading 5 Char"/>
    <w:basedOn w:val="DefaultParagraphFont"/>
    <w:link w:val="Heading5"/>
    <w:uiPriority w:val="9"/>
    <w:rsid w:val="00461018"/>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F1D2E"/>
    <w:rPr>
      <w:sz w:val="20"/>
      <w:szCs w:val="20"/>
    </w:rPr>
  </w:style>
  <w:style w:type="character" w:customStyle="1" w:styleId="EndnoteTextChar">
    <w:name w:val="Endnote Text Char"/>
    <w:basedOn w:val="DefaultParagraphFont"/>
    <w:link w:val="EndnoteText"/>
    <w:uiPriority w:val="99"/>
    <w:semiHidden/>
    <w:rsid w:val="001F1D2E"/>
    <w:rPr>
      <w:sz w:val="20"/>
      <w:szCs w:val="20"/>
    </w:rPr>
  </w:style>
  <w:style w:type="character" w:styleId="EndnoteReference">
    <w:name w:val="endnote reference"/>
    <w:basedOn w:val="DefaultParagraphFont"/>
    <w:uiPriority w:val="99"/>
    <w:semiHidden/>
    <w:unhideWhenUsed/>
    <w:rsid w:val="001F1D2E"/>
    <w:rPr>
      <w:vertAlign w:val="superscript"/>
    </w:rPr>
  </w:style>
  <w:style w:type="paragraph" w:styleId="TOC1">
    <w:name w:val="toc 1"/>
    <w:basedOn w:val="Normal"/>
    <w:next w:val="Normal"/>
    <w:autoRedefine/>
    <w:uiPriority w:val="39"/>
    <w:unhideWhenUsed/>
    <w:rsid w:val="003D78F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F26"/>
  </w:style>
  <w:style w:type="paragraph" w:styleId="Heading1">
    <w:name w:val="heading 1"/>
    <w:basedOn w:val="Normal"/>
    <w:next w:val="Normal"/>
    <w:link w:val="Heading1Char"/>
    <w:uiPriority w:val="9"/>
    <w:qFormat/>
    <w:rsid w:val="00193A49"/>
    <w:pPr>
      <w:keepNext/>
      <w:keepLines/>
      <w:spacing w:before="480" w:line="276" w:lineRule="auto"/>
      <w:jc w:val="left"/>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C2F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018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12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610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A3C"/>
    <w:rPr>
      <w:rFonts w:ascii="Tahoma" w:hAnsi="Tahoma" w:cs="Tahoma"/>
      <w:sz w:val="16"/>
      <w:szCs w:val="16"/>
    </w:rPr>
  </w:style>
  <w:style w:type="character" w:customStyle="1" w:styleId="BalloonTextChar">
    <w:name w:val="Balloon Text Char"/>
    <w:basedOn w:val="DefaultParagraphFont"/>
    <w:link w:val="BalloonText"/>
    <w:uiPriority w:val="99"/>
    <w:semiHidden/>
    <w:rsid w:val="00FB7A3C"/>
    <w:rPr>
      <w:rFonts w:ascii="Tahoma" w:hAnsi="Tahoma" w:cs="Tahoma"/>
      <w:sz w:val="16"/>
      <w:szCs w:val="16"/>
    </w:rPr>
  </w:style>
  <w:style w:type="paragraph" w:styleId="ListParagraph">
    <w:name w:val="List Paragraph"/>
    <w:basedOn w:val="Normal"/>
    <w:uiPriority w:val="34"/>
    <w:qFormat/>
    <w:rsid w:val="00FB7A3C"/>
    <w:pPr>
      <w:ind w:left="720"/>
      <w:contextualSpacing/>
    </w:pPr>
  </w:style>
  <w:style w:type="paragraph" w:styleId="NoSpacing">
    <w:name w:val="No Spacing"/>
    <w:uiPriority w:val="1"/>
    <w:qFormat/>
    <w:rsid w:val="00305E61"/>
  </w:style>
  <w:style w:type="paragraph" w:styleId="Header">
    <w:name w:val="header"/>
    <w:basedOn w:val="Normal"/>
    <w:link w:val="HeaderChar"/>
    <w:uiPriority w:val="99"/>
    <w:unhideWhenUsed/>
    <w:rsid w:val="0010709E"/>
    <w:pPr>
      <w:tabs>
        <w:tab w:val="center" w:pos="4513"/>
        <w:tab w:val="right" w:pos="9026"/>
      </w:tabs>
    </w:pPr>
  </w:style>
  <w:style w:type="character" w:customStyle="1" w:styleId="HeaderChar">
    <w:name w:val="Header Char"/>
    <w:basedOn w:val="DefaultParagraphFont"/>
    <w:link w:val="Header"/>
    <w:uiPriority w:val="99"/>
    <w:rsid w:val="0010709E"/>
  </w:style>
  <w:style w:type="paragraph" w:styleId="Footer">
    <w:name w:val="footer"/>
    <w:basedOn w:val="Normal"/>
    <w:link w:val="FooterChar"/>
    <w:uiPriority w:val="99"/>
    <w:unhideWhenUsed/>
    <w:rsid w:val="0010709E"/>
    <w:pPr>
      <w:tabs>
        <w:tab w:val="center" w:pos="4513"/>
        <w:tab w:val="right" w:pos="9026"/>
      </w:tabs>
    </w:pPr>
  </w:style>
  <w:style w:type="character" w:customStyle="1" w:styleId="FooterChar">
    <w:name w:val="Footer Char"/>
    <w:basedOn w:val="DefaultParagraphFont"/>
    <w:link w:val="Footer"/>
    <w:uiPriority w:val="99"/>
    <w:rsid w:val="0010709E"/>
  </w:style>
  <w:style w:type="table" w:styleId="TableGrid">
    <w:name w:val="Table Grid"/>
    <w:basedOn w:val="TableNormal"/>
    <w:uiPriority w:val="59"/>
    <w:rsid w:val="006E0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B97B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FootnoteText">
    <w:name w:val="footnote text"/>
    <w:basedOn w:val="Normal"/>
    <w:link w:val="FootnoteTextChar"/>
    <w:uiPriority w:val="99"/>
    <w:unhideWhenUsed/>
    <w:rsid w:val="00C8561A"/>
    <w:rPr>
      <w:sz w:val="20"/>
      <w:szCs w:val="20"/>
    </w:rPr>
  </w:style>
  <w:style w:type="character" w:customStyle="1" w:styleId="FootnoteTextChar">
    <w:name w:val="Footnote Text Char"/>
    <w:basedOn w:val="DefaultParagraphFont"/>
    <w:link w:val="FootnoteText"/>
    <w:uiPriority w:val="99"/>
    <w:rsid w:val="00C8561A"/>
    <w:rPr>
      <w:sz w:val="20"/>
      <w:szCs w:val="20"/>
    </w:rPr>
  </w:style>
  <w:style w:type="character" w:styleId="FootnoteReference">
    <w:name w:val="footnote reference"/>
    <w:basedOn w:val="DefaultParagraphFont"/>
    <w:uiPriority w:val="99"/>
    <w:unhideWhenUsed/>
    <w:rsid w:val="00C8561A"/>
    <w:rPr>
      <w:vertAlign w:val="superscript"/>
    </w:rPr>
  </w:style>
  <w:style w:type="paragraph" w:styleId="NormalWeb">
    <w:name w:val="Normal (Web)"/>
    <w:basedOn w:val="Normal"/>
    <w:uiPriority w:val="99"/>
    <w:unhideWhenUsed/>
    <w:rsid w:val="008D3840"/>
    <w:pPr>
      <w:spacing w:before="100" w:beforeAutospacing="1" w:after="100" w:afterAutospacing="1"/>
      <w:jc w:val="left"/>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193A49"/>
    <w:rPr>
      <w:rFonts w:ascii="Cambria" w:eastAsia="Times New Roman" w:hAnsi="Cambria" w:cs="Times New Roman"/>
      <w:b/>
      <w:bCs/>
      <w:color w:val="365F91"/>
      <w:sz w:val="28"/>
      <w:szCs w:val="28"/>
    </w:rPr>
  </w:style>
  <w:style w:type="paragraph" w:customStyle="1" w:styleId="Indent">
    <w:name w:val="Indent"/>
    <w:basedOn w:val="Normal"/>
    <w:link w:val="IndentChar"/>
    <w:uiPriority w:val="99"/>
    <w:qFormat/>
    <w:rsid w:val="00E95F10"/>
    <w:pPr>
      <w:autoSpaceDE w:val="0"/>
      <w:autoSpaceDN w:val="0"/>
      <w:adjustRightInd w:val="0"/>
      <w:spacing w:after="120"/>
      <w:ind w:left="992"/>
      <w:jc w:val="left"/>
    </w:pPr>
    <w:rPr>
      <w:rFonts w:asciiTheme="majorHAnsi" w:eastAsiaTheme="majorEastAsia" w:hAnsiTheme="majorHAnsi" w:cs="Arial"/>
      <w:i/>
      <w:lang w:val="en-US" w:eastAsia="en-GB" w:bidi="en-US"/>
    </w:rPr>
  </w:style>
  <w:style w:type="character" w:customStyle="1" w:styleId="IndentChar">
    <w:name w:val="Indent Char"/>
    <w:basedOn w:val="DefaultParagraphFont"/>
    <w:link w:val="Indent"/>
    <w:uiPriority w:val="99"/>
    <w:rsid w:val="00E95F10"/>
    <w:rPr>
      <w:rFonts w:asciiTheme="majorHAnsi" w:eastAsiaTheme="majorEastAsia" w:hAnsiTheme="majorHAnsi" w:cs="Arial"/>
      <w:i/>
      <w:lang w:val="en-US" w:eastAsia="en-GB" w:bidi="en-US"/>
    </w:rPr>
  </w:style>
  <w:style w:type="character" w:customStyle="1" w:styleId="Heading2Char">
    <w:name w:val="Heading 2 Char"/>
    <w:basedOn w:val="DefaultParagraphFont"/>
    <w:link w:val="Heading2"/>
    <w:uiPriority w:val="9"/>
    <w:rsid w:val="005C2F6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C0185"/>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rsid w:val="006C0185"/>
    <w:pPr>
      <w:spacing w:after="100"/>
      <w:ind w:left="220"/>
    </w:pPr>
  </w:style>
  <w:style w:type="character" w:styleId="Hyperlink">
    <w:name w:val="Hyperlink"/>
    <w:basedOn w:val="DefaultParagraphFont"/>
    <w:uiPriority w:val="99"/>
    <w:unhideWhenUsed/>
    <w:rsid w:val="006C0185"/>
    <w:rPr>
      <w:color w:val="0000FF" w:themeColor="hyperlink"/>
      <w:u w:val="single"/>
    </w:rPr>
  </w:style>
  <w:style w:type="character" w:customStyle="1" w:styleId="Heading3Char">
    <w:name w:val="Heading 3 Char"/>
    <w:basedOn w:val="DefaultParagraphFont"/>
    <w:link w:val="Heading3"/>
    <w:uiPriority w:val="9"/>
    <w:rsid w:val="006C018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755D0"/>
    <w:pPr>
      <w:spacing w:after="100"/>
      <w:ind w:left="440"/>
    </w:pPr>
  </w:style>
  <w:style w:type="character" w:customStyle="1" w:styleId="Heading4Char">
    <w:name w:val="Heading 4 Char"/>
    <w:basedOn w:val="DefaultParagraphFont"/>
    <w:link w:val="Heading4"/>
    <w:uiPriority w:val="9"/>
    <w:rsid w:val="00C01212"/>
    <w:rPr>
      <w:rFonts w:asciiTheme="majorHAnsi" w:eastAsiaTheme="majorEastAsia" w:hAnsiTheme="majorHAnsi" w:cstheme="majorBidi"/>
      <w:b/>
      <w:bCs/>
      <w:i/>
      <w:iCs/>
      <w:color w:val="4F81BD" w:themeColor="accent1"/>
    </w:rPr>
  </w:style>
  <w:style w:type="paragraph" w:styleId="TableofFigures">
    <w:name w:val="table of figures"/>
    <w:basedOn w:val="Normal"/>
    <w:next w:val="Normal"/>
    <w:uiPriority w:val="99"/>
    <w:unhideWhenUsed/>
    <w:rsid w:val="00C01212"/>
  </w:style>
  <w:style w:type="character" w:customStyle="1" w:styleId="Heading5Char">
    <w:name w:val="Heading 5 Char"/>
    <w:basedOn w:val="DefaultParagraphFont"/>
    <w:link w:val="Heading5"/>
    <w:uiPriority w:val="9"/>
    <w:rsid w:val="00461018"/>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1F1D2E"/>
    <w:rPr>
      <w:sz w:val="20"/>
      <w:szCs w:val="20"/>
    </w:rPr>
  </w:style>
  <w:style w:type="character" w:customStyle="1" w:styleId="EndnoteTextChar">
    <w:name w:val="Endnote Text Char"/>
    <w:basedOn w:val="DefaultParagraphFont"/>
    <w:link w:val="EndnoteText"/>
    <w:uiPriority w:val="99"/>
    <w:semiHidden/>
    <w:rsid w:val="001F1D2E"/>
    <w:rPr>
      <w:sz w:val="20"/>
      <w:szCs w:val="20"/>
    </w:rPr>
  </w:style>
  <w:style w:type="character" w:styleId="EndnoteReference">
    <w:name w:val="endnote reference"/>
    <w:basedOn w:val="DefaultParagraphFont"/>
    <w:uiPriority w:val="99"/>
    <w:semiHidden/>
    <w:unhideWhenUsed/>
    <w:rsid w:val="001F1D2E"/>
    <w:rPr>
      <w:vertAlign w:val="superscript"/>
    </w:rPr>
  </w:style>
  <w:style w:type="paragraph" w:styleId="TOC1">
    <w:name w:val="toc 1"/>
    <w:basedOn w:val="Normal"/>
    <w:next w:val="Normal"/>
    <w:autoRedefine/>
    <w:uiPriority w:val="39"/>
    <w:unhideWhenUsed/>
    <w:rsid w:val="003D78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172">
      <w:bodyDiv w:val="1"/>
      <w:marLeft w:val="0"/>
      <w:marRight w:val="0"/>
      <w:marTop w:val="0"/>
      <w:marBottom w:val="0"/>
      <w:divBdr>
        <w:top w:val="none" w:sz="0" w:space="0" w:color="auto"/>
        <w:left w:val="none" w:sz="0" w:space="0" w:color="auto"/>
        <w:bottom w:val="none" w:sz="0" w:space="0" w:color="auto"/>
        <w:right w:val="none" w:sz="0" w:space="0" w:color="auto"/>
      </w:divBdr>
    </w:div>
    <w:div w:id="14578711">
      <w:bodyDiv w:val="1"/>
      <w:marLeft w:val="0"/>
      <w:marRight w:val="0"/>
      <w:marTop w:val="0"/>
      <w:marBottom w:val="0"/>
      <w:divBdr>
        <w:top w:val="none" w:sz="0" w:space="0" w:color="auto"/>
        <w:left w:val="none" w:sz="0" w:space="0" w:color="auto"/>
        <w:bottom w:val="none" w:sz="0" w:space="0" w:color="auto"/>
        <w:right w:val="none" w:sz="0" w:space="0" w:color="auto"/>
      </w:divBdr>
    </w:div>
    <w:div w:id="135999114">
      <w:bodyDiv w:val="1"/>
      <w:marLeft w:val="0"/>
      <w:marRight w:val="0"/>
      <w:marTop w:val="0"/>
      <w:marBottom w:val="0"/>
      <w:divBdr>
        <w:top w:val="none" w:sz="0" w:space="0" w:color="auto"/>
        <w:left w:val="none" w:sz="0" w:space="0" w:color="auto"/>
        <w:bottom w:val="none" w:sz="0" w:space="0" w:color="auto"/>
        <w:right w:val="none" w:sz="0" w:space="0" w:color="auto"/>
      </w:divBdr>
    </w:div>
    <w:div w:id="146939506">
      <w:bodyDiv w:val="1"/>
      <w:marLeft w:val="0"/>
      <w:marRight w:val="0"/>
      <w:marTop w:val="0"/>
      <w:marBottom w:val="0"/>
      <w:divBdr>
        <w:top w:val="none" w:sz="0" w:space="0" w:color="auto"/>
        <w:left w:val="none" w:sz="0" w:space="0" w:color="auto"/>
        <w:bottom w:val="none" w:sz="0" w:space="0" w:color="auto"/>
        <w:right w:val="none" w:sz="0" w:space="0" w:color="auto"/>
      </w:divBdr>
    </w:div>
    <w:div w:id="156653580">
      <w:bodyDiv w:val="1"/>
      <w:marLeft w:val="0"/>
      <w:marRight w:val="0"/>
      <w:marTop w:val="0"/>
      <w:marBottom w:val="0"/>
      <w:divBdr>
        <w:top w:val="none" w:sz="0" w:space="0" w:color="auto"/>
        <w:left w:val="none" w:sz="0" w:space="0" w:color="auto"/>
        <w:bottom w:val="none" w:sz="0" w:space="0" w:color="auto"/>
        <w:right w:val="none" w:sz="0" w:space="0" w:color="auto"/>
      </w:divBdr>
    </w:div>
    <w:div w:id="168297855">
      <w:bodyDiv w:val="1"/>
      <w:marLeft w:val="0"/>
      <w:marRight w:val="0"/>
      <w:marTop w:val="0"/>
      <w:marBottom w:val="0"/>
      <w:divBdr>
        <w:top w:val="none" w:sz="0" w:space="0" w:color="auto"/>
        <w:left w:val="none" w:sz="0" w:space="0" w:color="auto"/>
        <w:bottom w:val="none" w:sz="0" w:space="0" w:color="auto"/>
        <w:right w:val="none" w:sz="0" w:space="0" w:color="auto"/>
      </w:divBdr>
    </w:div>
    <w:div w:id="184444763">
      <w:bodyDiv w:val="1"/>
      <w:marLeft w:val="0"/>
      <w:marRight w:val="0"/>
      <w:marTop w:val="0"/>
      <w:marBottom w:val="0"/>
      <w:divBdr>
        <w:top w:val="none" w:sz="0" w:space="0" w:color="auto"/>
        <w:left w:val="none" w:sz="0" w:space="0" w:color="auto"/>
        <w:bottom w:val="none" w:sz="0" w:space="0" w:color="auto"/>
        <w:right w:val="none" w:sz="0" w:space="0" w:color="auto"/>
      </w:divBdr>
    </w:div>
    <w:div w:id="187763642">
      <w:bodyDiv w:val="1"/>
      <w:marLeft w:val="0"/>
      <w:marRight w:val="0"/>
      <w:marTop w:val="0"/>
      <w:marBottom w:val="0"/>
      <w:divBdr>
        <w:top w:val="none" w:sz="0" w:space="0" w:color="auto"/>
        <w:left w:val="none" w:sz="0" w:space="0" w:color="auto"/>
        <w:bottom w:val="none" w:sz="0" w:space="0" w:color="auto"/>
        <w:right w:val="none" w:sz="0" w:space="0" w:color="auto"/>
      </w:divBdr>
    </w:div>
    <w:div w:id="226766325">
      <w:bodyDiv w:val="1"/>
      <w:marLeft w:val="0"/>
      <w:marRight w:val="0"/>
      <w:marTop w:val="0"/>
      <w:marBottom w:val="0"/>
      <w:divBdr>
        <w:top w:val="none" w:sz="0" w:space="0" w:color="auto"/>
        <w:left w:val="none" w:sz="0" w:space="0" w:color="auto"/>
        <w:bottom w:val="none" w:sz="0" w:space="0" w:color="auto"/>
        <w:right w:val="none" w:sz="0" w:space="0" w:color="auto"/>
      </w:divBdr>
    </w:div>
    <w:div w:id="240870926">
      <w:bodyDiv w:val="1"/>
      <w:marLeft w:val="0"/>
      <w:marRight w:val="0"/>
      <w:marTop w:val="0"/>
      <w:marBottom w:val="0"/>
      <w:divBdr>
        <w:top w:val="none" w:sz="0" w:space="0" w:color="auto"/>
        <w:left w:val="none" w:sz="0" w:space="0" w:color="auto"/>
        <w:bottom w:val="none" w:sz="0" w:space="0" w:color="auto"/>
        <w:right w:val="none" w:sz="0" w:space="0" w:color="auto"/>
      </w:divBdr>
    </w:div>
    <w:div w:id="275718361">
      <w:bodyDiv w:val="1"/>
      <w:marLeft w:val="0"/>
      <w:marRight w:val="0"/>
      <w:marTop w:val="0"/>
      <w:marBottom w:val="0"/>
      <w:divBdr>
        <w:top w:val="none" w:sz="0" w:space="0" w:color="auto"/>
        <w:left w:val="none" w:sz="0" w:space="0" w:color="auto"/>
        <w:bottom w:val="none" w:sz="0" w:space="0" w:color="auto"/>
        <w:right w:val="none" w:sz="0" w:space="0" w:color="auto"/>
      </w:divBdr>
    </w:div>
    <w:div w:id="331225590">
      <w:bodyDiv w:val="1"/>
      <w:marLeft w:val="0"/>
      <w:marRight w:val="0"/>
      <w:marTop w:val="0"/>
      <w:marBottom w:val="0"/>
      <w:divBdr>
        <w:top w:val="none" w:sz="0" w:space="0" w:color="auto"/>
        <w:left w:val="none" w:sz="0" w:space="0" w:color="auto"/>
        <w:bottom w:val="none" w:sz="0" w:space="0" w:color="auto"/>
        <w:right w:val="none" w:sz="0" w:space="0" w:color="auto"/>
      </w:divBdr>
    </w:div>
    <w:div w:id="343216255">
      <w:bodyDiv w:val="1"/>
      <w:marLeft w:val="0"/>
      <w:marRight w:val="0"/>
      <w:marTop w:val="0"/>
      <w:marBottom w:val="0"/>
      <w:divBdr>
        <w:top w:val="none" w:sz="0" w:space="0" w:color="auto"/>
        <w:left w:val="none" w:sz="0" w:space="0" w:color="auto"/>
        <w:bottom w:val="none" w:sz="0" w:space="0" w:color="auto"/>
        <w:right w:val="none" w:sz="0" w:space="0" w:color="auto"/>
      </w:divBdr>
    </w:div>
    <w:div w:id="392697718">
      <w:bodyDiv w:val="1"/>
      <w:marLeft w:val="0"/>
      <w:marRight w:val="0"/>
      <w:marTop w:val="0"/>
      <w:marBottom w:val="0"/>
      <w:divBdr>
        <w:top w:val="none" w:sz="0" w:space="0" w:color="auto"/>
        <w:left w:val="none" w:sz="0" w:space="0" w:color="auto"/>
        <w:bottom w:val="none" w:sz="0" w:space="0" w:color="auto"/>
        <w:right w:val="none" w:sz="0" w:space="0" w:color="auto"/>
      </w:divBdr>
    </w:div>
    <w:div w:id="507526216">
      <w:bodyDiv w:val="1"/>
      <w:marLeft w:val="0"/>
      <w:marRight w:val="0"/>
      <w:marTop w:val="0"/>
      <w:marBottom w:val="0"/>
      <w:divBdr>
        <w:top w:val="none" w:sz="0" w:space="0" w:color="auto"/>
        <w:left w:val="none" w:sz="0" w:space="0" w:color="auto"/>
        <w:bottom w:val="none" w:sz="0" w:space="0" w:color="auto"/>
        <w:right w:val="none" w:sz="0" w:space="0" w:color="auto"/>
      </w:divBdr>
    </w:div>
    <w:div w:id="563875746">
      <w:bodyDiv w:val="1"/>
      <w:marLeft w:val="0"/>
      <w:marRight w:val="0"/>
      <w:marTop w:val="0"/>
      <w:marBottom w:val="0"/>
      <w:divBdr>
        <w:top w:val="none" w:sz="0" w:space="0" w:color="auto"/>
        <w:left w:val="none" w:sz="0" w:space="0" w:color="auto"/>
        <w:bottom w:val="none" w:sz="0" w:space="0" w:color="auto"/>
        <w:right w:val="none" w:sz="0" w:space="0" w:color="auto"/>
      </w:divBdr>
    </w:div>
    <w:div w:id="657156377">
      <w:bodyDiv w:val="1"/>
      <w:marLeft w:val="0"/>
      <w:marRight w:val="0"/>
      <w:marTop w:val="0"/>
      <w:marBottom w:val="0"/>
      <w:divBdr>
        <w:top w:val="none" w:sz="0" w:space="0" w:color="auto"/>
        <w:left w:val="none" w:sz="0" w:space="0" w:color="auto"/>
        <w:bottom w:val="none" w:sz="0" w:space="0" w:color="auto"/>
        <w:right w:val="none" w:sz="0" w:space="0" w:color="auto"/>
      </w:divBdr>
    </w:div>
    <w:div w:id="735665763">
      <w:bodyDiv w:val="1"/>
      <w:marLeft w:val="0"/>
      <w:marRight w:val="0"/>
      <w:marTop w:val="0"/>
      <w:marBottom w:val="0"/>
      <w:divBdr>
        <w:top w:val="none" w:sz="0" w:space="0" w:color="auto"/>
        <w:left w:val="none" w:sz="0" w:space="0" w:color="auto"/>
        <w:bottom w:val="none" w:sz="0" w:space="0" w:color="auto"/>
        <w:right w:val="none" w:sz="0" w:space="0" w:color="auto"/>
      </w:divBdr>
    </w:div>
    <w:div w:id="759914654">
      <w:bodyDiv w:val="1"/>
      <w:marLeft w:val="0"/>
      <w:marRight w:val="0"/>
      <w:marTop w:val="0"/>
      <w:marBottom w:val="0"/>
      <w:divBdr>
        <w:top w:val="none" w:sz="0" w:space="0" w:color="auto"/>
        <w:left w:val="none" w:sz="0" w:space="0" w:color="auto"/>
        <w:bottom w:val="none" w:sz="0" w:space="0" w:color="auto"/>
        <w:right w:val="none" w:sz="0" w:space="0" w:color="auto"/>
      </w:divBdr>
    </w:div>
    <w:div w:id="765076548">
      <w:bodyDiv w:val="1"/>
      <w:marLeft w:val="0"/>
      <w:marRight w:val="0"/>
      <w:marTop w:val="0"/>
      <w:marBottom w:val="0"/>
      <w:divBdr>
        <w:top w:val="none" w:sz="0" w:space="0" w:color="auto"/>
        <w:left w:val="none" w:sz="0" w:space="0" w:color="auto"/>
        <w:bottom w:val="none" w:sz="0" w:space="0" w:color="auto"/>
        <w:right w:val="none" w:sz="0" w:space="0" w:color="auto"/>
      </w:divBdr>
    </w:div>
    <w:div w:id="765346973">
      <w:bodyDiv w:val="1"/>
      <w:marLeft w:val="0"/>
      <w:marRight w:val="0"/>
      <w:marTop w:val="0"/>
      <w:marBottom w:val="0"/>
      <w:divBdr>
        <w:top w:val="none" w:sz="0" w:space="0" w:color="auto"/>
        <w:left w:val="none" w:sz="0" w:space="0" w:color="auto"/>
        <w:bottom w:val="none" w:sz="0" w:space="0" w:color="auto"/>
        <w:right w:val="none" w:sz="0" w:space="0" w:color="auto"/>
      </w:divBdr>
    </w:div>
    <w:div w:id="837841844">
      <w:bodyDiv w:val="1"/>
      <w:marLeft w:val="0"/>
      <w:marRight w:val="0"/>
      <w:marTop w:val="0"/>
      <w:marBottom w:val="0"/>
      <w:divBdr>
        <w:top w:val="none" w:sz="0" w:space="0" w:color="auto"/>
        <w:left w:val="none" w:sz="0" w:space="0" w:color="auto"/>
        <w:bottom w:val="none" w:sz="0" w:space="0" w:color="auto"/>
        <w:right w:val="none" w:sz="0" w:space="0" w:color="auto"/>
      </w:divBdr>
    </w:div>
    <w:div w:id="879367374">
      <w:bodyDiv w:val="1"/>
      <w:marLeft w:val="0"/>
      <w:marRight w:val="0"/>
      <w:marTop w:val="0"/>
      <w:marBottom w:val="0"/>
      <w:divBdr>
        <w:top w:val="none" w:sz="0" w:space="0" w:color="auto"/>
        <w:left w:val="none" w:sz="0" w:space="0" w:color="auto"/>
        <w:bottom w:val="none" w:sz="0" w:space="0" w:color="auto"/>
        <w:right w:val="none" w:sz="0" w:space="0" w:color="auto"/>
      </w:divBdr>
    </w:div>
    <w:div w:id="958727304">
      <w:bodyDiv w:val="1"/>
      <w:marLeft w:val="0"/>
      <w:marRight w:val="0"/>
      <w:marTop w:val="0"/>
      <w:marBottom w:val="0"/>
      <w:divBdr>
        <w:top w:val="none" w:sz="0" w:space="0" w:color="auto"/>
        <w:left w:val="none" w:sz="0" w:space="0" w:color="auto"/>
        <w:bottom w:val="none" w:sz="0" w:space="0" w:color="auto"/>
        <w:right w:val="none" w:sz="0" w:space="0" w:color="auto"/>
      </w:divBdr>
    </w:div>
    <w:div w:id="971862908">
      <w:bodyDiv w:val="1"/>
      <w:marLeft w:val="0"/>
      <w:marRight w:val="0"/>
      <w:marTop w:val="0"/>
      <w:marBottom w:val="0"/>
      <w:divBdr>
        <w:top w:val="none" w:sz="0" w:space="0" w:color="auto"/>
        <w:left w:val="none" w:sz="0" w:space="0" w:color="auto"/>
        <w:bottom w:val="none" w:sz="0" w:space="0" w:color="auto"/>
        <w:right w:val="none" w:sz="0" w:space="0" w:color="auto"/>
      </w:divBdr>
    </w:div>
    <w:div w:id="1005204401">
      <w:bodyDiv w:val="1"/>
      <w:marLeft w:val="0"/>
      <w:marRight w:val="0"/>
      <w:marTop w:val="0"/>
      <w:marBottom w:val="0"/>
      <w:divBdr>
        <w:top w:val="none" w:sz="0" w:space="0" w:color="auto"/>
        <w:left w:val="none" w:sz="0" w:space="0" w:color="auto"/>
        <w:bottom w:val="none" w:sz="0" w:space="0" w:color="auto"/>
        <w:right w:val="none" w:sz="0" w:space="0" w:color="auto"/>
      </w:divBdr>
    </w:div>
    <w:div w:id="1019284361">
      <w:bodyDiv w:val="1"/>
      <w:marLeft w:val="0"/>
      <w:marRight w:val="0"/>
      <w:marTop w:val="0"/>
      <w:marBottom w:val="0"/>
      <w:divBdr>
        <w:top w:val="none" w:sz="0" w:space="0" w:color="auto"/>
        <w:left w:val="none" w:sz="0" w:space="0" w:color="auto"/>
        <w:bottom w:val="none" w:sz="0" w:space="0" w:color="auto"/>
        <w:right w:val="none" w:sz="0" w:space="0" w:color="auto"/>
      </w:divBdr>
    </w:div>
    <w:div w:id="1042634795">
      <w:bodyDiv w:val="1"/>
      <w:marLeft w:val="0"/>
      <w:marRight w:val="0"/>
      <w:marTop w:val="0"/>
      <w:marBottom w:val="0"/>
      <w:divBdr>
        <w:top w:val="none" w:sz="0" w:space="0" w:color="auto"/>
        <w:left w:val="none" w:sz="0" w:space="0" w:color="auto"/>
        <w:bottom w:val="none" w:sz="0" w:space="0" w:color="auto"/>
        <w:right w:val="none" w:sz="0" w:space="0" w:color="auto"/>
      </w:divBdr>
    </w:div>
    <w:div w:id="1056931110">
      <w:bodyDiv w:val="1"/>
      <w:marLeft w:val="0"/>
      <w:marRight w:val="0"/>
      <w:marTop w:val="0"/>
      <w:marBottom w:val="0"/>
      <w:divBdr>
        <w:top w:val="none" w:sz="0" w:space="0" w:color="auto"/>
        <w:left w:val="none" w:sz="0" w:space="0" w:color="auto"/>
        <w:bottom w:val="none" w:sz="0" w:space="0" w:color="auto"/>
        <w:right w:val="none" w:sz="0" w:space="0" w:color="auto"/>
      </w:divBdr>
    </w:div>
    <w:div w:id="1115758104">
      <w:bodyDiv w:val="1"/>
      <w:marLeft w:val="0"/>
      <w:marRight w:val="0"/>
      <w:marTop w:val="0"/>
      <w:marBottom w:val="0"/>
      <w:divBdr>
        <w:top w:val="none" w:sz="0" w:space="0" w:color="auto"/>
        <w:left w:val="none" w:sz="0" w:space="0" w:color="auto"/>
        <w:bottom w:val="none" w:sz="0" w:space="0" w:color="auto"/>
        <w:right w:val="none" w:sz="0" w:space="0" w:color="auto"/>
      </w:divBdr>
    </w:div>
    <w:div w:id="1129518519">
      <w:bodyDiv w:val="1"/>
      <w:marLeft w:val="0"/>
      <w:marRight w:val="0"/>
      <w:marTop w:val="0"/>
      <w:marBottom w:val="0"/>
      <w:divBdr>
        <w:top w:val="none" w:sz="0" w:space="0" w:color="auto"/>
        <w:left w:val="none" w:sz="0" w:space="0" w:color="auto"/>
        <w:bottom w:val="none" w:sz="0" w:space="0" w:color="auto"/>
        <w:right w:val="none" w:sz="0" w:space="0" w:color="auto"/>
      </w:divBdr>
    </w:div>
    <w:div w:id="1210921558">
      <w:bodyDiv w:val="1"/>
      <w:marLeft w:val="0"/>
      <w:marRight w:val="0"/>
      <w:marTop w:val="0"/>
      <w:marBottom w:val="0"/>
      <w:divBdr>
        <w:top w:val="none" w:sz="0" w:space="0" w:color="auto"/>
        <w:left w:val="none" w:sz="0" w:space="0" w:color="auto"/>
        <w:bottom w:val="none" w:sz="0" w:space="0" w:color="auto"/>
        <w:right w:val="none" w:sz="0" w:space="0" w:color="auto"/>
      </w:divBdr>
    </w:div>
    <w:div w:id="1315062792">
      <w:bodyDiv w:val="1"/>
      <w:marLeft w:val="0"/>
      <w:marRight w:val="0"/>
      <w:marTop w:val="0"/>
      <w:marBottom w:val="0"/>
      <w:divBdr>
        <w:top w:val="none" w:sz="0" w:space="0" w:color="auto"/>
        <w:left w:val="none" w:sz="0" w:space="0" w:color="auto"/>
        <w:bottom w:val="none" w:sz="0" w:space="0" w:color="auto"/>
        <w:right w:val="none" w:sz="0" w:space="0" w:color="auto"/>
      </w:divBdr>
    </w:div>
    <w:div w:id="1391922157">
      <w:bodyDiv w:val="1"/>
      <w:marLeft w:val="0"/>
      <w:marRight w:val="0"/>
      <w:marTop w:val="0"/>
      <w:marBottom w:val="0"/>
      <w:divBdr>
        <w:top w:val="none" w:sz="0" w:space="0" w:color="auto"/>
        <w:left w:val="none" w:sz="0" w:space="0" w:color="auto"/>
        <w:bottom w:val="none" w:sz="0" w:space="0" w:color="auto"/>
        <w:right w:val="none" w:sz="0" w:space="0" w:color="auto"/>
      </w:divBdr>
    </w:div>
    <w:div w:id="1410886652">
      <w:bodyDiv w:val="1"/>
      <w:marLeft w:val="0"/>
      <w:marRight w:val="0"/>
      <w:marTop w:val="0"/>
      <w:marBottom w:val="0"/>
      <w:divBdr>
        <w:top w:val="none" w:sz="0" w:space="0" w:color="auto"/>
        <w:left w:val="none" w:sz="0" w:space="0" w:color="auto"/>
        <w:bottom w:val="none" w:sz="0" w:space="0" w:color="auto"/>
        <w:right w:val="none" w:sz="0" w:space="0" w:color="auto"/>
      </w:divBdr>
    </w:div>
    <w:div w:id="1418595704">
      <w:bodyDiv w:val="1"/>
      <w:marLeft w:val="0"/>
      <w:marRight w:val="0"/>
      <w:marTop w:val="0"/>
      <w:marBottom w:val="0"/>
      <w:divBdr>
        <w:top w:val="none" w:sz="0" w:space="0" w:color="auto"/>
        <w:left w:val="none" w:sz="0" w:space="0" w:color="auto"/>
        <w:bottom w:val="none" w:sz="0" w:space="0" w:color="auto"/>
        <w:right w:val="none" w:sz="0" w:space="0" w:color="auto"/>
      </w:divBdr>
    </w:div>
    <w:div w:id="1420324616">
      <w:bodyDiv w:val="1"/>
      <w:marLeft w:val="0"/>
      <w:marRight w:val="0"/>
      <w:marTop w:val="0"/>
      <w:marBottom w:val="0"/>
      <w:divBdr>
        <w:top w:val="none" w:sz="0" w:space="0" w:color="auto"/>
        <w:left w:val="none" w:sz="0" w:space="0" w:color="auto"/>
        <w:bottom w:val="none" w:sz="0" w:space="0" w:color="auto"/>
        <w:right w:val="none" w:sz="0" w:space="0" w:color="auto"/>
      </w:divBdr>
    </w:div>
    <w:div w:id="1452016533">
      <w:bodyDiv w:val="1"/>
      <w:marLeft w:val="0"/>
      <w:marRight w:val="0"/>
      <w:marTop w:val="0"/>
      <w:marBottom w:val="0"/>
      <w:divBdr>
        <w:top w:val="none" w:sz="0" w:space="0" w:color="auto"/>
        <w:left w:val="none" w:sz="0" w:space="0" w:color="auto"/>
        <w:bottom w:val="none" w:sz="0" w:space="0" w:color="auto"/>
        <w:right w:val="none" w:sz="0" w:space="0" w:color="auto"/>
      </w:divBdr>
    </w:div>
    <w:div w:id="1508442885">
      <w:bodyDiv w:val="1"/>
      <w:marLeft w:val="0"/>
      <w:marRight w:val="0"/>
      <w:marTop w:val="0"/>
      <w:marBottom w:val="0"/>
      <w:divBdr>
        <w:top w:val="none" w:sz="0" w:space="0" w:color="auto"/>
        <w:left w:val="none" w:sz="0" w:space="0" w:color="auto"/>
        <w:bottom w:val="none" w:sz="0" w:space="0" w:color="auto"/>
        <w:right w:val="none" w:sz="0" w:space="0" w:color="auto"/>
      </w:divBdr>
    </w:div>
    <w:div w:id="1511874679">
      <w:bodyDiv w:val="1"/>
      <w:marLeft w:val="0"/>
      <w:marRight w:val="0"/>
      <w:marTop w:val="0"/>
      <w:marBottom w:val="0"/>
      <w:divBdr>
        <w:top w:val="none" w:sz="0" w:space="0" w:color="auto"/>
        <w:left w:val="none" w:sz="0" w:space="0" w:color="auto"/>
        <w:bottom w:val="none" w:sz="0" w:space="0" w:color="auto"/>
        <w:right w:val="none" w:sz="0" w:space="0" w:color="auto"/>
      </w:divBdr>
    </w:div>
    <w:div w:id="1524399013">
      <w:bodyDiv w:val="1"/>
      <w:marLeft w:val="0"/>
      <w:marRight w:val="0"/>
      <w:marTop w:val="0"/>
      <w:marBottom w:val="0"/>
      <w:divBdr>
        <w:top w:val="none" w:sz="0" w:space="0" w:color="auto"/>
        <w:left w:val="none" w:sz="0" w:space="0" w:color="auto"/>
        <w:bottom w:val="none" w:sz="0" w:space="0" w:color="auto"/>
        <w:right w:val="none" w:sz="0" w:space="0" w:color="auto"/>
      </w:divBdr>
    </w:div>
    <w:div w:id="1534001803">
      <w:bodyDiv w:val="1"/>
      <w:marLeft w:val="0"/>
      <w:marRight w:val="0"/>
      <w:marTop w:val="0"/>
      <w:marBottom w:val="0"/>
      <w:divBdr>
        <w:top w:val="none" w:sz="0" w:space="0" w:color="auto"/>
        <w:left w:val="none" w:sz="0" w:space="0" w:color="auto"/>
        <w:bottom w:val="none" w:sz="0" w:space="0" w:color="auto"/>
        <w:right w:val="none" w:sz="0" w:space="0" w:color="auto"/>
      </w:divBdr>
      <w:divsChild>
        <w:div w:id="1627658411">
          <w:marLeft w:val="0"/>
          <w:marRight w:val="0"/>
          <w:marTop w:val="0"/>
          <w:marBottom w:val="0"/>
          <w:divBdr>
            <w:top w:val="none" w:sz="0" w:space="0" w:color="auto"/>
            <w:left w:val="none" w:sz="0" w:space="0" w:color="auto"/>
            <w:bottom w:val="none" w:sz="0" w:space="0" w:color="auto"/>
            <w:right w:val="none" w:sz="0" w:space="0" w:color="auto"/>
          </w:divBdr>
          <w:divsChild>
            <w:div w:id="751243745">
              <w:marLeft w:val="0"/>
              <w:marRight w:val="0"/>
              <w:marTop w:val="0"/>
              <w:marBottom w:val="0"/>
              <w:divBdr>
                <w:top w:val="none" w:sz="0" w:space="0" w:color="auto"/>
                <w:left w:val="none" w:sz="0" w:space="0" w:color="auto"/>
                <w:bottom w:val="none" w:sz="0" w:space="0" w:color="auto"/>
                <w:right w:val="none" w:sz="0" w:space="0" w:color="auto"/>
              </w:divBdr>
              <w:divsChild>
                <w:div w:id="2142724809">
                  <w:marLeft w:val="0"/>
                  <w:marRight w:val="0"/>
                  <w:marTop w:val="0"/>
                  <w:marBottom w:val="0"/>
                  <w:divBdr>
                    <w:top w:val="none" w:sz="0" w:space="0" w:color="auto"/>
                    <w:left w:val="none" w:sz="0" w:space="0" w:color="auto"/>
                    <w:bottom w:val="none" w:sz="0" w:space="0" w:color="auto"/>
                    <w:right w:val="none" w:sz="0" w:space="0" w:color="auto"/>
                  </w:divBdr>
                  <w:divsChild>
                    <w:div w:id="1487743973">
                      <w:marLeft w:val="0"/>
                      <w:marRight w:val="0"/>
                      <w:marTop w:val="0"/>
                      <w:marBottom w:val="0"/>
                      <w:divBdr>
                        <w:top w:val="none" w:sz="0" w:space="0" w:color="auto"/>
                        <w:left w:val="none" w:sz="0" w:space="0" w:color="auto"/>
                        <w:bottom w:val="none" w:sz="0" w:space="0" w:color="auto"/>
                        <w:right w:val="none" w:sz="0" w:space="0" w:color="auto"/>
                      </w:divBdr>
                      <w:divsChild>
                        <w:div w:id="707099610">
                          <w:marLeft w:val="0"/>
                          <w:marRight w:val="0"/>
                          <w:marTop w:val="0"/>
                          <w:marBottom w:val="0"/>
                          <w:divBdr>
                            <w:top w:val="none" w:sz="0" w:space="0" w:color="auto"/>
                            <w:left w:val="none" w:sz="0" w:space="0" w:color="auto"/>
                            <w:bottom w:val="none" w:sz="0" w:space="0" w:color="auto"/>
                            <w:right w:val="none" w:sz="0" w:space="0" w:color="auto"/>
                          </w:divBdr>
                          <w:divsChild>
                            <w:div w:id="187373880">
                              <w:marLeft w:val="0"/>
                              <w:marRight w:val="0"/>
                              <w:marTop w:val="0"/>
                              <w:marBottom w:val="0"/>
                              <w:divBdr>
                                <w:top w:val="none" w:sz="0" w:space="0" w:color="auto"/>
                                <w:left w:val="none" w:sz="0" w:space="0" w:color="auto"/>
                                <w:bottom w:val="none" w:sz="0" w:space="0" w:color="auto"/>
                                <w:right w:val="none" w:sz="0" w:space="0" w:color="auto"/>
                              </w:divBdr>
                              <w:divsChild>
                                <w:div w:id="596208904">
                                  <w:marLeft w:val="0"/>
                                  <w:marRight w:val="0"/>
                                  <w:marTop w:val="0"/>
                                  <w:marBottom w:val="0"/>
                                  <w:divBdr>
                                    <w:top w:val="none" w:sz="0" w:space="0" w:color="auto"/>
                                    <w:left w:val="none" w:sz="0" w:space="0" w:color="auto"/>
                                    <w:bottom w:val="none" w:sz="0" w:space="0" w:color="auto"/>
                                    <w:right w:val="none" w:sz="0" w:space="0" w:color="auto"/>
                                  </w:divBdr>
                                  <w:divsChild>
                                    <w:div w:id="1946383711">
                                      <w:marLeft w:val="0"/>
                                      <w:marRight w:val="0"/>
                                      <w:marTop w:val="0"/>
                                      <w:marBottom w:val="0"/>
                                      <w:divBdr>
                                        <w:top w:val="none" w:sz="0" w:space="0" w:color="auto"/>
                                        <w:left w:val="none" w:sz="0" w:space="0" w:color="auto"/>
                                        <w:bottom w:val="none" w:sz="0" w:space="0" w:color="auto"/>
                                        <w:right w:val="none" w:sz="0" w:space="0" w:color="auto"/>
                                      </w:divBdr>
                                      <w:divsChild>
                                        <w:div w:id="128910666">
                                          <w:marLeft w:val="0"/>
                                          <w:marRight w:val="0"/>
                                          <w:marTop w:val="0"/>
                                          <w:marBottom w:val="0"/>
                                          <w:divBdr>
                                            <w:top w:val="none" w:sz="0" w:space="0" w:color="auto"/>
                                            <w:left w:val="none" w:sz="0" w:space="0" w:color="auto"/>
                                            <w:bottom w:val="none" w:sz="0" w:space="0" w:color="auto"/>
                                            <w:right w:val="none" w:sz="0" w:space="0" w:color="auto"/>
                                          </w:divBdr>
                                          <w:divsChild>
                                            <w:div w:id="735006606">
                                              <w:marLeft w:val="0"/>
                                              <w:marRight w:val="0"/>
                                              <w:marTop w:val="0"/>
                                              <w:marBottom w:val="0"/>
                                              <w:divBdr>
                                                <w:top w:val="none" w:sz="0" w:space="0" w:color="auto"/>
                                                <w:left w:val="none" w:sz="0" w:space="0" w:color="auto"/>
                                                <w:bottom w:val="none" w:sz="0" w:space="0" w:color="auto"/>
                                                <w:right w:val="none" w:sz="0" w:space="0" w:color="auto"/>
                                              </w:divBdr>
                                              <w:divsChild>
                                                <w:div w:id="679310171">
                                                  <w:marLeft w:val="0"/>
                                                  <w:marRight w:val="0"/>
                                                  <w:marTop w:val="0"/>
                                                  <w:marBottom w:val="0"/>
                                                  <w:divBdr>
                                                    <w:top w:val="none" w:sz="0" w:space="0" w:color="auto"/>
                                                    <w:left w:val="none" w:sz="0" w:space="0" w:color="auto"/>
                                                    <w:bottom w:val="none" w:sz="0" w:space="0" w:color="auto"/>
                                                    <w:right w:val="none" w:sz="0" w:space="0" w:color="auto"/>
                                                  </w:divBdr>
                                                  <w:divsChild>
                                                    <w:div w:id="461191116">
                                                      <w:marLeft w:val="0"/>
                                                      <w:marRight w:val="0"/>
                                                      <w:marTop w:val="0"/>
                                                      <w:marBottom w:val="0"/>
                                                      <w:divBdr>
                                                        <w:top w:val="none" w:sz="0" w:space="0" w:color="auto"/>
                                                        <w:left w:val="none" w:sz="0" w:space="0" w:color="auto"/>
                                                        <w:bottom w:val="none" w:sz="0" w:space="0" w:color="auto"/>
                                                        <w:right w:val="none" w:sz="0" w:space="0" w:color="auto"/>
                                                      </w:divBdr>
                                                      <w:divsChild>
                                                        <w:div w:id="883905255">
                                                          <w:marLeft w:val="0"/>
                                                          <w:marRight w:val="0"/>
                                                          <w:marTop w:val="0"/>
                                                          <w:marBottom w:val="0"/>
                                                          <w:divBdr>
                                                            <w:top w:val="none" w:sz="0" w:space="0" w:color="auto"/>
                                                            <w:left w:val="none" w:sz="0" w:space="0" w:color="auto"/>
                                                            <w:bottom w:val="none" w:sz="0" w:space="0" w:color="auto"/>
                                                            <w:right w:val="none" w:sz="0" w:space="0" w:color="auto"/>
                                                          </w:divBdr>
                                                          <w:divsChild>
                                                            <w:div w:id="290601980">
                                                              <w:marLeft w:val="0"/>
                                                              <w:marRight w:val="0"/>
                                                              <w:marTop w:val="0"/>
                                                              <w:marBottom w:val="0"/>
                                                              <w:divBdr>
                                                                <w:top w:val="none" w:sz="0" w:space="0" w:color="auto"/>
                                                                <w:left w:val="none" w:sz="0" w:space="0" w:color="auto"/>
                                                                <w:bottom w:val="none" w:sz="0" w:space="0" w:color="auto"/>
                                                                <w:right w:val="none" w:sz="0" w:space="0" w:color="auto"/>
                                                              </w:divBdr>
                                                              <w:divsChild>
                                                                <w:div w:id="651103878">
                                                                  <w:marLeft w:val="0"/>
                                                                  <w:marRight w:val="0"/>
                                                                  <w:marTop w:val="0"/>
                                                                  <w:marBottom w:val="0"/>
                                                                  <w:divBdr>
                                                                    <w:top w:val="none" w:sz="0" w:space="0" w:color="auto"/>
                                                                    <w:left w:val="none" w:sz="0" w:space="0" w:color="auto"/>
                                                                    <w:bottom w:val="none" w:sz="0" w:space="0" w:color="auto"/>
                                                                    <w:right w:val="none" w:sz="0" w:space="0" w:color="auto"/>
                                                                  </w:divBdr>
                                                                  <w:divsChild>
                                                                    <w:div w:id="324750512">
                                                                      <w:marLeft w:val="0"/>
                                                                      <w:marRight w:val="0"/>
                                                                      <w:marTop w:val="0"/>
                                                                      <w:marBottom w:val="0"/>
                                                                      <w:divBdr>
                                                                        <w:top w:val="none" w:sz="0" w:space="0" w:color="auto"/>
                                                                        <w:left w:val="none" w:sz="0" w:space="0" w:color="auto"/>
                                                                        <w:bottom w:val="none" w:sz="0" w:space="0" w:color="auto"/>
                                                                        <w:right w:val="none" w:sz="0" w:space="0" w:color="auto"/>
                                                                      </w:divBdr>
                                                                      <w:divsChild>
                                                                        <w:div w:id="1968243635">
                                                                          <w:marLeft w:val="0"/>
                                                                          <w:marRight w:val="0"/>
                                                                          <w:marTop w:val="0"/>
                                                                          <w:marBottom w:val="0"/>
                                                                          <w:divBdr>
                                                                            <w:top w:val="none" w:sz="0" w:space="0" w:color="auto"/>
                                                                            <w:left w:val="none" w:sz="0" w:space="0" w:color="auto"/>
                                                                            <w:bottom w:val="none" w:sz="0" w:space="0" w:color="auto"/>
                                                                            <w:right w:val="none" w:sz="0" w:space="0" w:color="auto"/>
                                                                          </w:divBdr>
                                                                          <w:divsChild>
                                                                            <w:div w:id="1930775076">
                                                                              <w:marLeft w:val="0"/>
                                                                              <w:marRight w:val="0"/>
                                                                              <w:marTop w:val="0"/>
                                                                              <w:marBottom w:val="0"/>
                                                                              <w:divBdr>
                                                                                <w:top w:val="none" w:sz="0" w:space="0" w:color="auto"/>
                                                                                <w:left w:val="none" w:sz="0" w:space="0" w:color="auto"/>
                                                                                <w:bottom w:val="none" w:sz="0" w:space="0" w:color="auto"/>
                                                                                <w:right w:val="none" w:sz="0" w:space="0" w:color="auto"/>
                                                                              </w:divBdr>
                                                                              <w:divsChild>
                                                                                <w:div w:id="2050570121">
                                                                                  <w:marLeft w:val="0"/>
                                                                                  <w:marRight w:val="0"/>
                                                                                  <w:marTop w:val="0"/>
                                                                                  <w:marBottom w:val="0"/>
                                                                                  <w:divBdr>
                                                                                    <w:top w:val="none" w:sz="0" w:space="0" w:color="auto"/>
                                                                                    <w:left w:val="none" w:sz="0" w:space="0" w:color="auto"/>
                                                                                    <w:bottom w:val="none" w:sz="0" w:space="0" w:color="auto"/>
                                                                                    <w:right w:val="none" w:sz="0" w:space="0" w:color="auto"/>
                                                                                  </w:divBdr>
                                                                                  <w:divsChild>
                                                                                    <w:div w:id="1347100803">
                                                                                      <w:marLeft w:val="0"/>
                                                                                      <w:marRight w:val="0"/>
                                                                                      <w:marTop w:val="0"/>
                                                                                      <w:marBottom w:val="0"/>
                                                                                      <w:divBdr>
                                                                                        <w:top w:val="none" w:sz="0" w:space="0" w:color="auto"/>
                                                                                        <w:left w:val="none" w:sz="0" w:space="0" w:color="auto"/>
                                                                                        <w:bottom w:val="none" w:sz="0" w:space="0" w:color="auto"/>
                                                                                        <w:right w:val="none" w:sz="0" w:space="0" w:color="auto"/>
                                                                                      </w:divBdr>
                                                                                      <w:divsChild>
                                                                                        <w:div w:id="1541361335">
                                                                                          <w:marLeft w:val="0"/>
                                                                                          <w:marRight w:val="0"/>
                                                                                          <w:marTop w:val="0"/>
                                                                                          <w:marBottom w:val="0"/>
                                                                                          <w:divBdr>
                                                                                            <w:top w:val="none" w:sz="0" w:space="0" w:color="auto"/>
                                                                                            <w:left w:val="none" w:sz="0" w:space="0" w:color="auto"/>
                                                                                            <w:bottom w:val="none" w:sz="0" w:space="0" w:color="auto"/>
                                                                                            <w:right w:val="none" w:sz="0" w:space="0" w:color="auto"/>
                                                                                          </w:divBdr>
                                                                                          <w:divsChild>
                                                                                            <w:div w:id="1861236196">
                                                                                              <w:marLeft w:val="0"/>
                                                                                              <w:marRight w:val="0"/>
                                                                                              <w:marTop w:val="0"/>
                                                                                              <w:marBottom w:val="0"/>
                                                                                              <w:divBdr>
                                                                                                <w:top w:val="none" w:sz="0" w:space="0" w:color="auto"/>
                                                                                                <w:left w:val="none" w:sz="0" w:space="0" w:color="auto"/>
                                                                                                <w:bottom w:val="none" w:sz="0" w:space="0" w:color="auto"/>
                                                                                                <w:right w:val="none" w:sz="0" w:space="0" w:color="auto"/>
                                                                                              </w:divBdr>
                                                                                              <w:divsChild>
                                                                                                <w:div w:id="2026440172">
                                                                                                  <w:marLeft w:val="0"/>
                                                                                                  <w:marRight w:val="0"/>
                                                                                                  <w:marTop w:val="0"/>
                                                                                                  <w:marBottom w:val="0"/>
                                                                                                  <w:divBdr>
                                                                                                    <w:top w:val="none" w:sz="0" w:space="0" w:color="auto"/>
                                                                                                    <w:left w:val="none" w:sz="0" w:space="0" w:color="auto"/>
                                                                                                    <w:bottom w:val="none" w:sz="0" w:space="0" w:color="auto"/>
                                                                                                    <w:right w:val="none" w:sz="0" w:space="0" w:color="auto"/>
                                                                                                  </w:divBdr>
                                                                                                  <w:divsChild>
                                                                                                    <w:div w:id="755328641">
                                                                                                      <w:marLeft w:val="0"/>
                                                                                                      <w:marRight w:val="0"/>
                                                                                                      <w:marTop w:val="0"/>
                                                                                                      <w:marBottom w:val="0"/>
                                                                                                      <w:divBdr>
                                                                                                        <w:top w:val="none" w:sz="0" w:space="0" w:color="auto"/>
                                                                                                        <w:left w:val="none" w:sz="0" w:space="0" w:color="auto"/>
                                                                                                        <w:bottom w:val="none" w:sz="0" w:space="0" w:color="auto"/>
                                                                                                        <w:right w:val="none" w:sz="0" w:space="0" w:color="auto"/>
                                                                                                      </w:divBdr>
                                                                                                      <w:divsChild>
                                                                                                        <w:div w:id="857963033">
                                                                                                          <w:marLeft w:val="0"/>
                                                                                                          <w:marRight w:val="0"/>
                                                                                                          <w:marTop w:val="0"/>
                                                                                                          <w:marBottom w:val="0"/>
                                                                                                          <w:divBdr>
                                                                                                            <w:top w:val="none" w:sz="0" w:space="0" w:color="auto"/>
                                                                                                            <w:left w:val="none" w:sz="0" w:space="0" w:color="auto"/>
                                                                                                            <w:bottom w:val="none" w:sz="0" w:space="0" w:color="auto"/>
                                                                                                            <w:right w:val="none" w:sz="0" w:space="0" w:color="auto"/>
                                                                                                          </w:divBdr>
                                                                                                          <w:divsChild>
                                                                                                            <w:div w:id="1928801519">
                                                                                                              <w:marLeft w:val="0"/>
                                                                                                              <w:marRight w:val="0"/>
                                                                                                              <w:marTop w:val="0"/>
                                                                                                              <w:marBottom w:val="0"/>
                                                                                                              <w:divBdr>
                                                                                                                <w:top w:val="none" w:sz="0" w:space="0" w:color="auto"/>
                                                                                                                <w:left w:val="none" w:sz="0" w:space="0" w:color="auto"/>
                                                                                                                <w:bottom w:val="none" w:sz="0" w:space="0" w:color="auto"/>
                                                                                                                <w:right w:val="none" w:sz="0" w:space="0" w:color="auto"/>
                                                                                                              </w:divBdr>
                                                                                                              <w:divsChild>
                                                                                                                <w:div w:id="2141802772">
                                                                                                                  <w:marLeft w:val="0"/>
                                                                                                                  <w:marRight w:val="0"/>
                                                                                                                  <w:marTop w:val="0"/>
                                                                                                                  <w:marBottom w:val="0"/>
                                                                                                                  <w:divBdr>
                                                                                                                    <w:top w:val="none" w:sz="0" w:space="0" w:color="auto"/>
                                                                                                                    <w:left w:val="none" w:sz="0" w:space="0" w:color="auto"/>
                                                                                                                    <w:bottom w:val="none" w:sz="0" w:space="0" w:color="auto"/>
                                                                                                                    <w:right w:val="none" w:sz="0" w:space="0" w:color="auto"/>
                                                                                                                  </w:divBdr>
                                                                                                                  <w:divsChild>
                                                                                                                    <w:div w:id="455417363">
                                                                                                                      <w:marLeft w:val="0"/>
                                                                                                                      <w:marRight w:val="0"/>
                                                                                                                      <w:marTop w:val="0"/>
                                                                                                                      <w:marBottom w:val="0"/>
                                                                                                                      <w:divBdr>
                                                                                                                        <w:top w:val="none" w:sz="0" w:space="0" w:color="auto"/>
                                                                                                                        <w:left w:val="none" w:sz="0" w:space="0" w:color="auto"/>
                                                                                                                        <w:bottom w:val="none" w:sz="0" w:space="0" w:color="auto"/>
                                                                                                                        <w:right w:val="none" w:sz="0" w:space="0" w:color="auto"/>
                                                                                                                      </w:divBdr>
                                                                                                                      <w:divsChild>
                                                                                                                        <w:div w:id="841968122">
                                                                                                                          <w:marLeft w:val="0"/>
                                                                                                                          <w:marRight w:val="0"/>
                                                                                                                          <w:marTop w:val="0"/>
                                                                                                                          <w:marBottom w:val="0"/>
                                                                                                                          <w:divBdr>
                                                                                                                            <w:top w:val="none" w:sz="0" w:space="0" w:color="auto"/>
                                                                                                                            <w:left w:val="none" w:sz="0" w:space="0" w:color="auto"/>
                                                                                                                            <w:bottom w:val="none" w:sz="0" w:space="0" w:color="auto"/>
                                                                                                                            <w:right w:val="none" w:sz="0" w:space="0" w:color="auto"/>
                                                                                                                          </w:divBdr>
                                                                                                                          <w:divsChild>
                                                                                                                            <w:div w:id="217323373">
                                                                                                                              <w:marLeft w:val="0"/>
                                                                                                                              <w:marRight w:val="0"/>
                                                                                                                              <w:marTop w:val="0"/>
                                                                                                                              <w:marBottom w:val="0"/>
                                                                                                                              <w:divBdr>
                                                                                                                                <w:top w:val="none" w:sz="0" w:space="0" w:color="auto"/>
                                                                                                                                <w:left w:val="none" w:sz="0" w:space="0" w:color="auto"/>
                                                                                                                                <w:bottom w:val="none" w:sz="0" w:space="0" w:color="auto"/>
                                                                                                                                <w:right w:val="none" w:sz="0" w:space="0" w:color="auto"/>
                                                                                                                              </w:divBdr>
                                                                                                                              <w:divsChild>
                                                                                                                                <w:div w:id="399669032">
                                                                                                                                  <w:marLeft w:val="0"/>
                                                                                                                                  <w:marRight w:val="0"/>
                                                                                                                                  <w:marTop w:val="0"/>
                                                                                                                                  <w:marBottom w:val="0"/>
                                                                                                                                  <w:divBdr>
                                                                                                                                    <w:top w:val="none" w:sz="0" w:space="0" w:color="auto"/>
                                                                                                                                    <w:left w:val="none" w:sz="0" w:space="0" w:color="auto"/>
                                                                                                                                    <w:bottom w:val="none" w:sz="0" w:space="0" w:color="auto"/>
                                                                                                                                    <w:right w:val="none" w:sz="0" w:space="0" w:color="auto"/>
                                                                                                                                  </w:divBdr>
                                                                                                                                  <w:divsChild>
                                                                                                                                    <w:div w:id="1753429217">
                                                                                                                                      <w:marLeft w:val="0"/>
                                                                                                                                      <w:marRight w:val="0"/>
                                                                                                                                      <w:marTop w:val="0"/>
                                                                                                                                      <w:marBottom w:val="0"/>
                                                                                                                                      <w:divBdr>
                                                                                                                                        <w:top w:val="none" w:sz="0" w:space="0" w:color="auto"/>
                                                                                                                                        <w:left w:val="none" w:sz="0" w:space="0" w:color="auto"/>
                                                                                                                                        <w:bottom w:val="none" w:sz="0" w:space="0" w:color="auto"/>
                                                                                                                                        <w:right w:val="none" w:sz="0" w:space="0" w:color="auto"/>
                                                                                                                                      </w:divBdr>
                                                                                                                                      <w:divsChild>
                                                                                                                                        <w:div w:id="16212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135846">
      <w:bodyDiv w:val="1"/>
      <w:marLeft w:val="0"/>
      <w:marRight w:val="0"/>
      <w:marTop w:val="0"/>
      <w:marBottom w:val="0"/>
      <w:divBdr>
        <w:top w:val="none" w:sz="0" w:space="0" w:color="auto"/>
        <w:left w:val="none" w:sz="0" w:space="0" w:color="auto"/>
        <w:bottom w:val="none" w:sz="0" w:space="0" w:color="auto"/>
        <w:right w:val="none" w:sz="0" w:space="0" w:color="auto"/>
      </w:divBdr>
    </w:div>
    <w:div w:id="1696812474">
      <w:bodyDiv w:val="1"/>
      <w:marLeft w:val="0"/>
      <w:marRight w:val="0"/>
      <w:marTop w:val="0"/>
      <w:marBottom w:val="0"/>
      <w:divBdr>
        <w:top w:val="none" w:sz="0" w:space="0" w:color="auto"/>
        <w:left w:val="none" w:sz="0" w:space="0" w:color="auto"/>
        <w:bottom w:val="none" w:sz="0" w:space="0" w:color="auto"/>
        <w:right w:val="none" w:sz="0" w:space="0" w:color="auto"/>
      </w:divBdr>
    </w:div>
    <w:div w:id="1784497157">
      <w:bodyDiv w:val="1"/>
      <w:marLeft w:val="0"/>
      <w:marRight w:val="0"/>
      <w:marTop w:val="0"/>
      <w:marBottom w:val="0"/>
      <w:divBdr>
        <w:top w:val="none" w:sz="0" w:space="0" w:color="auto"/>
        <w:left w:val="none" w:sz="0" w:space="0" w:color="auto"/>
        <w:bottom w:val="none" w:sz="0" w:space="0" w:color="auto"/>
        <w:right w:val="none" w:sz="0" w:space="0" w:color="auto"/>
      </w:divBdr>
    </w:div>
    <w:div w:id="1796872306">
      <w:bodyDiv w:val="1"/>
      <w:marLeft w:val="0"/>
      <w:marRight w:val="0"/>
      <w:marTop w:val="0"/>
      <w:marBottom w:val="0"/>
      <w:divBdr>
        <w:top w:val="none" w:sz="0" w:space="0" w:color="auto"/>
        <w:left w:val="none" w:sz="0" w:space="0" w:color="auto"/>
        <w:bottom w:val="none" w:sz="0" w:space="0" w:color="auto"/>
        <w:right w:val="none" w:sz="0" w:space="0" w:color="auto"/>
      </w:divBdr>
    </w:div>
    <w:div w:id="1819567996">
      <w:bodyDiv w:val="1"/>
      <w:marLeft w:val="0"/>
      <w:marRight w:val="0"/>
      <w:marTop w:val="0"/>
      <w:marBottom w:val="0"/>
      <w:divBdr>
        <w:top w:val="none" w:sz="0" w:space="0" w:color="auto"/>
        <w:left w:val="none" w:sz="0" w:space="0" w:color="auto"/>
        <w:bottom w:val="none" w:sz="0" w:space="0" w:color="auto"/>
        <w:right w:val="none" w:sz="0" w:space="0" w:color="auto"/>
      </w:divBdr>
    </w:div>
    <w:div w:id="1829587746">
      <w:bodyDiv w:val="1"/>
      <w:marLeft w:val="0"/>
      <w:marRight w:val="0"/>
      <w:marTop w:val="0"/>
      <w:marBottom w:val="0"/>
      <w:divBdr>
        <w:top w:val="none" w:sz="0" w:space="0" w:color="auto"/>
        <w:left w:val="none" w:sz="0" w:space="0" w:color="auto"/>
        <w:bottom w:val="none" w:sz="0" w:space="0" w:color="auto"/>
        <w:right w:val="none" w:sz="0" w:space="0" w:color="auto"/>
      </w:divBdr>
    </w:div>
    <w:div w:id="1866862304">
      <w:bodyDiv w:val="1"/>
      <w:marLeft w:val="0"/>
      <w:marRight w:val="0"/>
      <w:marTop w:val="0"/>
      <w:marBottom w:val="0"/>
      <w:divBdr>
        <w:top w:val="none" w:sz="0" w:space="0" w:color="auto"/>
        <w:left w:val="none" w:sz="0" w:space="0" w:color="auto"/>
        <w:bottom w:val="none" w:sz="0" w:space="0" w:color="auto"/>
        <w:right w:val="none" w:sz="0" w:space="0" w:color="auto"/>
      </w:divBdr>
    </w:div>
    <w:div w:id="1983801702">
      <w:bodyDiv w:val="1"/>
      <w:marLeft w:val="0"/>
      <w:marRight w:val="0"/>
      <w:marTop w:val="0"/>
      <w:marBottom w:val="0"/>
      <w:divBdr>
        <w:top w:val="none" w:sz="0" w:space="0" w:color="auto"/>
        <w:left w:val="none" w:sz="0" w:space="0" w:color="auto"/>
        <w:bottom w:val="none" w:sz="0" w:space="0" w:color="auto"/>
        <w:right w:val="none" w:sz="0" w:space="0" w:color="auto"/>
      </w:divBdr>
    </w:div>
    <w:div w:id="2002079561">
      <w:bodyDiv w:val="1"/>
      <w:marLeft w:val="0"/>
      <w:marRight w:val="0"/>
      <w:marTop w:val="0"/>
      <w:marBottom w:val="0"/>
      <w:divBdr>
        <w:top w:val="none" w:sz="0" w:space="0" w:color="auto"/>
        <w:left w:val="none" w:sz="0" w:space="0" w:color="auto"/>
        <w:bottom w:val="none" w:sz="0" w:space="0" w:color="auto"/>
        <w:right w:val="none" w:sz="0" w:space="0" w:color="auto"/>
      </w:divBdr>
    </w:div>
    <w:div w:id="2104765564">
      <w:bodyDiv w:val="1"/>
      <w:marLeft w:val="0"/>
      <w:marRight w:val="0"/>
      <w:marTop w:val="0"/>
      <w:marBottom w:val="0"/>
      <w:divBdr>
        <w:top w:val="none" w:sz="0" w:space="0" w:color="auto"/>
        <w:left w:val="none" w:sz="0" w:space="0" w:color="auto"/>
        <w:bottom w:val="none" w:sz="0" w:space="0" w:color="auto"/>
        <w:right w:val="none" w:sz="0" w:space="0" w:color="auto"/>
      </w:divBdr>
    </w:div>
    <w:div w:id="2137212969">
      <w:bodyDiv w:val="1"/>
      <w:marLeft w:val="0"/>
      <w:marRight w:val="0"/>
      <w:marTop w:val="0"/>
      <w:marBottom w:val="0"/>
      <w:divBdr>
        <w:top w:val="none" w:sz="0" w:space="0" w:color="auto"/>
        <w:left w:val="none" w:sz="0" w:space="0" w:color="auto"/>
        <w:bottom w:val="none" w:sz="0" w:space="0" w:color="auto"/>
        <w:right w:val="none" w:sz="0" w:space="0" w:color="auto"/>
      </w:divBdr>
    </w:div>
    <w:div w:id="21427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chart" Target="charts/chart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3.xml"/><Relationship Id="rId34"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image" Target="cid:image001.jpg@01CDDEA9.7AD3C2B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image" Target="media/image5.jpeg"/><Relationship Id="rId35" Type="http://schemas.openxmlformats.org/officeDocument/2006/relationships/image" Target="media/image9.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ustyn\Documents\publications\grants\Liz%20reilly\Final\Final%20Database%20missing%20responses%20removed%20with%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ustyn\Documents\publications\grants\Liz%20reilly\workforce%20summar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summary%20response%20chart%20for%20repo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Actual%20answers%20coded%20with%20missing%20responses%20removed%201303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Actual%20answers%20coded%20with%20missing%20responses%20removed%201303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Actual%20answers%20coded%20with%20missing%20responses%20removed%2013031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ustyn\AppData\Local\Temp\Z00920WS.TXT"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bubblewithnoreverseitem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ustyn\Documents\publications\grants\Liz%20reilly\Final\correct%20final\Actual%20answers%20coded%20with%20missing%20responses%20removed%201303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8347189484097634"/>
          <c:y val="3.3927836293648303E-2"/>
          <c:w val="0.77530825210110677"/>
          <c:h val="0.87768454004673502"/>
        </c:manualLayout>
      </c:layout>
      <c:barChart>
        <c:barDir val="bar"/>
        <c:grouping val="clustered"/>
        <c:varyColors val="0"/>
        <c:ser>
          <c:idx val="0"/>
          <c:order val="0"/>
          <c:invertIfNegative val="0"/>
          <c:cat>
            <c:strRef>
              <c:f>professions!$A$2:$A$9</c:f>
              <c:strCache>
                <c:ptCount val="8"/>
                <c:pt idx="0">
                  <c:v>Nursing</c:v>
                </c:pt>
                <c:pt idx="1">
                  <c:v>Admin/clerical</c:v>
                </c:pt>
                <c:pt idx="2">
                  <c:v>Medical</c:v>
                </c:pt>
                <c:pt idx="3">
                  <c:v>AHP</c:v>
                </c:pt>
                <c:pt idx="4">
                  <c:v>Other</c:v>
                </c:pt>
                <c:pt idx="5">
                  <c:v>Support services</c:v>
                </c:pt>
                <c:pt idx="6">
                  <c:v>Managerial</c:v>
                </c:pt>
                <c:pt idx="7">
                  <c:v>Corporate</c:v>
                </c:pt>
              </c:strCache>
            </c:strRef>
          </c:cat>
          <c:val>
            <c:numRef>
              <c:f>professions!$B$2:$B$9</c:f>
              <c:numCache>
                <c:formatCode>###0</c:formatCode>
                <c:ptCount val="8"/>
                <c:pt idx="0">
                  <c:v>569</c:v>
                </c:pt>
                <c:pt idx="1">
                  <c:v>182</c:v>
                </c:pt>
                <c:pt idx="2">
                  <c:v>128</c:v>
                </c:pt>
                <c:pt idx="3">
                  <c:v>125</c:v>
                </c:pt>
                <c:pt idx="4">
                  <c:v>76</c:v>
                </c:pt>
                <c:pt idx="5">
                  <c:v>58</c:v>
                </c:pt>
                <c:pt idx="6">
                  <c:v>20</c:v>
                </c:pt>
                <c:pt idx="7">
                  <c:v>12</c:v>
                </c:pt>
              </c:numCache>
            </c:numRef>
          </c:val>
        </c:ser>
        <c:dLbls>
          <c:showLegendKey val="0"/>
          <c:showVal val="0"/>
          <c:showCatName val="0"/>
          <c:showSerName val="0"/>
          <c:showPercent val="0"/>
          <c:showBubbleSize val="0"/>
        </c:dLbls>
        <c:gapWidth val="150"/>
        <c:axId val="79975552"/>
        <c:axId val="79977088"/>
      </c:barChart>
      <c:catAx>
        <c:axId val="79975552"/>
        <c:scaling>
          <c:orientation val="minMax"/>
        </c:scaling>
        <c:delete val="0"/>
        <c:axPos val="l"/>
        <c:majorTickMark val="out"/>
        <c:minorTickMark val="none"/>
        <c:tickLblPos val="nextTo"/>
        <c:crossAx val="79977088"/>
        <c:crosses val="autoZero"/>
        <c:auto val="1"/>
        <c:lblAlgn val="ctr"/>
        <c:lblOffset val="100"/>
        <c:noMultiLvlLbl val="0"/>
      </c:catAx>
      <c:valAx>
        <c:axId val="79977088"/>
        <c:scaling>
          <c:orientation val="minMax"/>
        </c:scaling>
        <c:delete val="0"/>
        <c:axPos val="b"/>
        <c:majorGridlines/>
        <c:numFmt formatCode="###0" sourceLinked="1"/>
        <c:majorTickMark val="out"/>
        <c:minorTickMark val="none"/>
        <c:tickLblPos val="nextTo"/>
        <c:crossAx val="799755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invertIfNegative val="0"/>
          <c:cat>
            <c:strRef>
              <c:f>Sheet2!$A$1:$A$8</c:f>
              <c:strCache>
                <c:ptCount val="8"/>
                <c:pt idx="0">
                  <c:v>Nursing</c:v>
                </c:pt>
                <c:pt idx="1">
                  <c:v>Admin/clerical</c:v>
                </c:pt>
                <c:pt idx="2">
                  <c:v>Medical </c:v>
                </c:pt>
                <c:pt idx="3">
                  <c:v>AHP</c:v>
                </c:pt>
                <c:pt idx="4">
                  <c:v>Healthcare sci</c:v>
                </c:pt>
                <c:pt idx="5">
                  <c:v>Other </c:v>
                </c:pt>
                <c:pt idx="6">
                  <c:v>Emergency serv</c:v>
                </c:pt>
                <c:pt idx="7">
                  <c:v>Personal care</c:v>
                </c:pt>
              </c:strCache>
            </c:strRef>
          </c:cat>
          <c:val>
            <c:numRef>
              <c:f>Sheet2!$D$1:$D$8</c:f>
              <c:numCache>
                <c:formatCode>General</c:formatCode>
                <c:ptCount val="8"/>
                <c:pt idx="0">
                  <c:v>43.70860927152318</c:v>
                </c:pt>
                <c:pt idx="1">
                  <c:v>31.125827814569526</c:v>
                </c:pt>
                <c:pt idx="2">
                  <c:v>7.9470198675496686</c:v>
                </c:pt>
                <c:pt idx="3">
                  <c:v>7.2847682119205324</c:v>
                </c:pt>
                <c:pt idx="4">
                  <c:v>3.9735099337748152</c:v>
                </c:pt>
                <c:pt idx="5">
                  <c:v>2.64900662251656</c:v>
                </c:pt>
                <c:pt idx="6">
                  <c:v>2.64900662251656</c:v>
                </c:pt>
                <c:pt idx="7">
                  <c:v>0.66225165562914434</c:v>
                </c:pt>
              </c:numCache>
            </c:numRef>
          </c:val>
        </c:ser>
        <c:dLbls>
          <c:showLegendKey val="0"/>
          <c:showVal val="0"/>
          <c:showCatName val="0"/>
          <c:showSerName val="0"/>
          <c:showPercent val="0"/>
          <c:showBubbleSize val="0"/>
        </c:dLbls>
        <c:gapWidth val="150"/>
        <c:axId val="79984512"/>
        <c:axId val="79986048"/>
      </c:barChart>
      <c:catAx>
        <c:axId val="79984512"/>
        <c:scaling>
          <c:orientation val="minMax"/>
        </c:scaling>
        <c:delete val="0"/>
        <c:axPos val="l"/>
        <c:majorTickMark val="out"/>
        <c:minorTickMark val="none"/>
        <c:tickLblPos val="nextTo"/>
        <c:crossAx val="79986048"/>
        <c:crosses val="autoZero"/>
        <c:auto val="1"/>
        <c:lblAlgn val="ctr"/>
        <c:lblOffset val="100"/>
        <c:noMultiLvlLbl val="0"/>
      </c:catAx>
      <c:valAx>
        <c:axId val="79986048"/>
        <c:scaling>
          <c:orientation val="minMax"/>
        </c:scaling>
        <c:delete val="0"/>
        <c:axPos val="b"/>
        <c:majorGridlines/>
        <c:title>
          <c:tx>
            <c:rich>
              <a:bodyPr/>
              <a:lstStyle/>
              <a:p>
                <a:pPr>
                  <a:defRPr/>
                </a:pPr>
                <a:r>
                  <a:rPr lang="en-US"/>
                  <a:t>%</a:t>
                </a:r>
              </a:p>
            </c:rich>
          </c:tx>
          <c:overlay val="0"/>
        </c:title>
        <c:numFmt formatCode="General" sourceLinked="1"/>
        <c:majorTickMark val="out"/>
        <c:minorTickMark val="none"/>
        <c:tickLblPos val="nextTo"/>
        <c:crossAx val="79984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Sheet2!$B$1</c:f>
              <c:strCache>
                <c:ptCount val="1"/>
                <c:pt idx="0">
                  <c:v>Strongly Disagree</c:v>
                </c:pt>
              </c:strCache>
            </c:strRef>
          </c:tx>
          <c:spPr>
            <a:solidFill>
              <a:srgbClr val="FF0000"/>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Sheet2!$B$2:$B$29</c:f>
              <c:numCache>
                <c:formatCode>###0</c:formatCode>
                <c:ptCount val="28"/>
                <c:pt idx="0">
                  <c:v>171</c:v>
                </c:pt>
                <c:pt idx="1">
                  <c:v>93</c:v>
                </c:pt>
                <c:pt idx="2">
                  <c:v>94</c:v>
                </c:pt>
                <c:pt idx="3">
                  <c:v>72</c:v>
                </c:pt>
                <c:pt idx="4">
                  <c:v>48</c:v>
                </c:pt>
                <c:pt idx="5">
                  <c:v>82</c:v>
                </c:pt>
                <c:pt idx="6">
                  <c:v>103</c:v>
                </c:pt>
                <c:pt idx="7">
                  <c:v>93</c:v>
                </c:pt>
                <c:pt idx="8">
                  <c:v>110</c:v>
                </c:pt>
                <c:pt idx="9">
                  <c:v>96</c:v>
                </c:pt>
                <c:pt idx="10">
                  <c:v>56</c:v>
                </c:pt>
                <c:pt idx="11">
                  <c:v>63</c:v>
                </c:pt>
                <c:pt idx="12">
                  <c:v>105</c:v>
                </c:pt>
                <c:pt idx="13">
                  <c:v>113</c:v>
                </c:pt>
                <c:pt idx="14">
                  <c:v>33</c:v>
                </c:pt>
                <c:pt idx="15">
                  <c:v>56</c:v>
                </c:pt>
                <c:pt idx="16">
                  <c:v>17</c:v>
                </c:pt>
                <c:pt idx="17">
                  <c:v>21</c:v>
                </c:pt>
                <c:pt idx="18">
                  <c:v>46</c:v>
                </c:pt>
                <c:pt idx="19">
                  <c:v>47</c:v>
                </c:pt>
                <c:pt idx="20">
                  <c:v>24</c:v>
                </c:pt>
                <c:pt idx="21">
                  <c:v>27</c:v>
                </c:pt>
                <c:pt idx="22">
                  <c:v>46</c:v>
                </c:pt>
                <c:pt idx="23">
                  <c:v>33</c:v>
                </c:pt>
                <c:pt idx="24">
                  <c:v>53</c:v>
                </c:pt>
                <c:pt idx="25">
                  <c:v>48</c:v>
                </c:pt>
                <c:pt idx="26">
                  <c:v>35</c:v>
                </c:pt>
                <c:pt idx="27">
                  <c:v>3</c:v>
                </c:pt>
              </c:numCache>
            </c:numRef>
          </c:val>
        </c:ser>
        <c:ser>
          <c:idx val="1"/>
          <c:order val="1"/>
          <c:tx>
            <c:strRef>
              <c:f>Sheet2!$C$1</c:f>
              <c:strCache>
                <c:ptCount val="1"/>
                <c:pt idx="0">
                  <c:v>Disagree</c:v>
                </c:pt>
              </c:strCache>
            </c:strRef>
          </c:tx>
          <c:spPr>
            <a:solidFill>
              <a:srgbClr val="FF0000"/>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Sheet2!$C$2:$C$29</c:f>
              <c:numCache>
                <c:formatCode>###0</c:formatCode>
                <c:ptCount val="28"/>
                <c:pt idx="0">
                  <c:v>312</c:v>
                </c:pt>
                <c:pt idx="1">
                  <c:v>191</c:v>
                </c:pt>
                <c:pt idx="2">
                  <c:v>165</c:v>
                </c:pt>
                <c:pt idx="3">
                  <c:v>164</c:v>
                </c:pt>
                <c:pt idx="4">
                  <c:v>109</c:v>
                </c:pt>
                <c:pt idx="5">
                  <c:v>141</c:v>
                </c:pt>
                <c:pt idx="6">
                  <c:v>393</c:v>
                </c:pt>
                <c:pt idx="7">
                  <c:v>383</c:v>
                </c:pt>
                <c:pt idx="8">
                  <c:v>193</c:v>
                </c:pt>
                <c:pt idx="9">
                  <c:v>148</c:v>
                </c:pt>
                <c:pt idx="10">
                  <c:v>93</c:v>
                </c:pt>
                <c:pt idx="11">
                  <c:v>132</c:v>
                </c:pt>
                <c:pt idx="12">
                  <c:v>164</c:v>
                </c:pt>
                <c:pt idx="13">
                  <c:v>148</c:v>
                </c:pt>
                <c:pt idx="14">
                  <c:v>57</c:v>
                </c:pt>
                <c:pt idx="15">
                  <c:v>102</c:v>
                </c:pt>
                <c:pt idx="16">
                  <c:v>43</c:v>
                </c:pt>
                <c:pt idx="17">
                  <c:v>40</c:v>
                </c:pt>
                <c:pt idx="18">
                  <c:v>88</c:v>
                </c:pt>
                <c:pt idx="19">
                  <c:v>68</c:v>
                </c:pt>
                <c:pt idx="20">
                  <c:v>109</c:v>
                </c:pt>
                <c:pt idx="21">
                  <c:v>64</c:v>
                </c:pt>
                <c:pt idx="22">
                  <c:v>65</c:v>
                </c:pt>
                <c:pt idx="23">
                  <c:v>48</c:v>
                </c:pt>
                <c:pt idx="24">
                  <c:v>53</c:v>
                </c:pt>
                <c:pt idx="25">
                  <c:v>82</c:v>
                </c:pt>
                <c:pt idx="26">
                  <c:v>54</c:v>
                </c:pt>
                <c:pt idx="27">
                  <c:v>9</c:v>
                </c:pt>
              </c:numCache>
            </c:numRef>
          </c:val>
        </c:ser>
        <c:ser>
          <c:idx val="2"/>
          <c:order val="2"/>
          <c:tx>
            <c:strRef>
              <c:f>Sheet2!$D$1</c:f>
              <c:strCache>
                <c:ptCount val="1"/>
                <c:pt idx="0">
                  <c:v>Slightly Disagree</c:v>
                </c:pt>
              </c:strCache>
            </c:strRef>
          </c:tx>
          <c:spPr>
            <a:solidFill>
              <a:srgbClr val="FFFF00"/>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Sheet2!$D$2:$D$29</c:f>
              <c:numCache>
                <c:formatCode>###0</c:formatCode>
                <c:ptCount val="28"/>
                <c:pt idx="0">
                  <c:v>291</c:v>
                </c:pt>
                <c:pt idx="1">
                  <c:v>254</c:v>
                </c:pt>
                <c:pt idx="2">
                  <c:v>215</c:v>
                </c:pt>
                <c:pt idx="3">
                  <c:v>181</c:v>
                </c:pt>
                <c:pt idx="4">
                  <c:v>154</c:v>
                </c:pt>
                <c:pt idx="5">
                  <c:v>156</c:v>
                </c:pt>
                <c:pt idx="6">
                  <c:v>182</c:v>
                </c:pt>
                <c:pt idx="7">
                  <c:v>207</c:v>
                </c:pt>
                <c:pt idx="8">
                  <c:v>179</c:v>
                </c:pt>
                <c:pt idx="9">
                  <c:v>169</c:v>
                </c:pt>
                <c:pt idx="10">
                  <c:v>121</c:v>
                </c:pt>
                <c:pt idx="11">
                  <c:v>140</c:v>
                </c:pt>
                <c:pt idx="12">
                  <c:v>183</c:v>
                </c:pt>
                <c:pt idx="13">
                  <c:v>137</c:v>
                </c:pt>
                <c:pt idx="14">
                  <c:v>94</c:v>
                </c:pt>
                <c:pt idx="15">
                  <c:v>152</c:v>
                </c:pt>
                <c:pt idx="16">
                  <c:v>48</c:v>
                </c:pt>
                <c:pt idx="17">
                  <c:v>66</c:v>
                </c:pt>
                <c:pt idx="18">
                  <c:v>99</c:v>
                </c:pt>
                <c:pt idx="19">
                  <c:v>87</c:v>
                </c:pt>
                <c:pt idx="20">
                  <c:v>128</c:v>
                </c:pt>
                <c:pt idx="21">
                  <c:v>85</c:v>
                </c:pt>
                <c:pt idx="22">
                  <c:v>47</c:v>
                </c:pt>
                <c:pt idx="23">
                  <c:v>71</c:v>
                </c:pt>
                <c:pt idx="24">
                  <c:v>67</c:v>
                </c:pt>
                <c:pt idx="25">
                  <c:v>80</c:v>
                </c:pt>
                <c:pt idx="26">
                  <c:v>49</c:v>
                </c:pt>
                <c:pt idx="27">
                  <c:v>29</c:v>
                </c:pt>
              </c:numCache>
            </c:numRef>
          </c:val>
        </c:ser>
        <c:ser>
          <c:idx val="3"/>
          <c:order val="3"/>
          <c:tx>
            <c:strRef>
              <c:f>Sheet2!$E$1</c:f>
              <c:strCache>
                <c:ptCount val="1"/>
                <c:pt idx="0">
                  <c:v>Slightly Agree</c:v>
                </c:pt>
              </c:strCache>
            </c:strRef>
          </c:tx>
          <c:spPr>
            <a:solidFill>
              <a:srgbClr val="FFFF00"/>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Sheet2!$E$2:$E$29</c:f>
              <c:numCache>
                <c:formatCode>###0</c:formatCode>
                <c:ptCount val="28"/>
                <c:pt idx="0">
                  <c:v>283</c:v>
                </c:pt>
                <c:pt idx="1">
                  <c:v>371</c:v>
                </c:pt>
                <c:pt idx="2">
                  <c:v>426</c:v>
                </c:pt>
                <c:pt idx="3">
                  <c:v>401</c:v>
                </c:pt>
                <c:pt idx="4">
                  <c:v>397</c:v>
                </c:pt>
                <c:pt idx="5">
                  <c:v>380</c:v>
                </c:pt>
                <c:pt idx="6">
                  <c:v>240</c:v>
                </c:pt>
                <c:pt idx="7">
                  <c:v>248</c:v>
                </c:pt>
                <c:pt idx="8">
                  <c:v>305</c:v>
                </c:pt>
                <c:pt idx="9">
                  <c:v>313</c:v>
                </c:pt>
                <c:pt idx="10">
                  <c:v>360</c:v>
                </c:pt>
                <c:pt idx="11">
                  <c:v>308</c:v>
                </c:pt>
                <c:pt idx="12">
                  <c:v>285</c:v>
                </c:pt>
                <c:pt idx="13">
                  <c:v>326</c:v>
                </c:pt>
                <c:pt idx="14">
                  <c:v>291</c:v>
                </c:pt>
                <c:pt idx="15">
                  <c:v>293</c:v>
                </c:pt>
                <c:pt idx="16">
                  <c:v>186</c:v>
                </c:pt>
                <c:pt idx="17">
                  <c:v>239</c:v>
                </c:pt>
                <c:pt idx="18">
                  <c:v>223</c:v>
                </c:pt>
                <c:pt idx="19">
                  <c:v>191</c:v>
                </c:pt>
                <c:pt idx="20">
                  <c:v>310</c:v>
                </c:pt>
                <c:pt idx="21">
                  <c:v>213</c:v>
                </c:pt>
                <c:pt idx="22">
                  <c:v>215</c:v>
                </c:pt>
                <c:pt idx="23">
                  <c:v>209</c:v>
                </c:pt>
                <c:pt idx="24">
                  <c:v>184</c:v>
                </c:pt>
                <c:pt idx="25">
                  <c:v>189</c:v>
                </c:pt>
                <c:pt idx="26">
                  <c:v>145</c:v>
                </c:pt>
                <c:pt idx="27">
                  <c:v>61</c:v>
                </c:pt>
              </c:numCache>
            </c:numRef>
          </c:val>
        </c:ser>
        <c:ser>
          <c:idx val="4"/>
          <c:order val="4"/>
          <c:tx>
            <c:strRef>
              <c:f>Sheet2!$F$1</c:f>
              <c:strCache>
                <c:ptCount val="1"/>
                <c:pt idx="0">
                  <c:v>Agree</c:v>
                </c:pt>
              </c:strCache>
            </c:strRef>
          </c:tx>
          <c:spPr>
            <a:solidFill>
              <a:srgbClr val="8BFA26"/>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Sheet2!$F$2:$F$29</c:f>
              <c:numCache>
                <c:formatCode>###0</c:formatCode>
                <c:ptCount val="28"/>
                <c:pt idx="0">
                  <c:v>121</c:v>
                </c:pt>
                <c:pt idx="1">
                  <c:v>260</c:v>
                </c:pt>
                <c:pt idx="2">
                  <c:v>262</c:v>
                </c:pt>
                <c:pt idx="3">
                  <c:v>323</c:v>
                </c:pt>
                <c:pt idx="4">
                  <c:v>432</c:v>
                </c:pt>
                <c:pt idx="5">
                  <c:v>371</c:v>
                </c:pt>
                <c:pt idx="6">
                  <c:v>211</c:v>
                </c:pt>
                <c:pt idx="7">
                  <c:v>196</c:v>
                </c:pt>
                <c:pt idx="8">
                  <c:v>327</c:v>
                </c:pt>
                <c:pt idx="9">
                  <c:v>384</c:v>
                </c:pt>
                <c:pt idx="10">
                  <c:v>479</c:v>
                </c:pt>
                <c:pt idx="11">
                  <c:v>459</c:v>
                </c:pt>
                <c:pt idx="12">
                  <c:v>365</c:v>
                </c:pt>
                <c:pt idx="13">
                  <c:v>375</c:v>
                </c:pt>
                <c:pt idx="14">
                  <c:v>596</c:v>
                </c:pt>
                <c:pt idx="15">
                  <c:v>467</c:v>
                </c:pt>
                <c:pt idx="16">
                  <c:v>715</c:v>
                </c:pt>
                <c:pt idx="17">
                  <c:v>635</c:v>
                </c:pt>
                <c:pt idx="18">
                  <c:v>532</c:v>
                </c:pt>
                <c:pt idx="19">
                  <c:v>576</c:v>
                </c:pt>
                <c:pt idx="20">
                  <c:v>394</c:v>
                </c:pt>
                <c:pt idx="21">
                  <c:v>558</c:v>
                </c:pt>
                <c:pt idx="22">
                  <c:v>543</c:v>
                </c:pt>
                <c:pt idx="23">
                  <c:v>538</c:v>
                </c:pt>
                <c:pt idx="24">
                  <c:v>511</c:v>
                </c:pt>
                <c:pt idx="25">
                  <c:v>458</c:v>
                </c:pt>
                <c:pt idx="26">
                  <c:v>486</c:v>
                </c:pt>
                <c:pt idx="27">
                  <c:v>602</c:v>
                </c:pt>
              </c:numCache>
            </c:numRef>
          </c:val>
        </c:ser>
        <c:ser>
          <c:idx val="5"/>
          <c:order val="5"/>
          <c:tx>
            <c:strRef>
              <c:f>Sheet2!$G$1</c:f>
              <c:strCache>
                <c:ptCount val="1"/>
                <c:pt idx="0">
                  <c:v>Strongly Agree</c:v>
                </c:pt>
              </c:strCache>
            </c:strRef>
          </c:tx>
          <c:spPr>
            <a:solidFill>
              <a:srgbClr val="8BFA26"/>
            </a:solidFill>
          </c:spPr>
          <c:invertIfNegative val="0"/>
          <c:cat>
            <c:strRef>
              <c:f>Sheet2!$A$2:$A$29</c:f>
              <c:strCache>
                <c:ptCount val="28"/>
                <c:pt idx="0">
                  <c:v>I feel involved in decisions relating to my organisation</c:v>
                </c:pt>
                <c:pt idx="1">
                  <c:v>I am confident performance is managed well within my team</c:v>
                </c:pt>
                <c:pt idx="2">
                  <c:v>I have confidence and trust in senior managers responsible for the wider organisation</c:v>
                </c:pt>
                <c:pt idx="3">
                  <c:v>I am confident my ideas and suggestions are acted upon</c:v>
                </c:pt>
                <c:pt idx="4">
                  <c:v>I get the help and support I need from other teams and services within the organisation to do my job</c:v>
                </c:pt>
                <c:pt idx="5">
                  <c:v>I feel my organisation cares about my health and wellbeing</c:v>
                </c:pt>
                <c:pt idx="6">
                  <c:v>I do not have sufficient support to do my job well</c:v>
                </c:pt>
                <c:pt idx="7">
                  <c:v>I do not feel involved in decisions relating to my team</c:v>
                </c:pt>
                <c:pt idx="8">
                  <c:v>I am given the time and resources to support my learning and growth</c:v>
                </c:pt>
                <c:pt idx="9">
                  <c:v>I feel involved in decisions relating to my job</c:v>
                </c:pt>
                <c:pt idx="10">
                  <c:v>I would recommend my organisation as a good place to work</c:v>
                </c:pt>
                <c:pt idx="11">
                  <c:v>I am confident my ideas and suggestions are listened to</c:v>
                </c:pt>
                <c:pt idx="12">
                  <c:v>I get enough helpful feedback on how well I do my work</c:v>
                </c:pt>
                <c:pt idx="13">
                  <c:v>I feel appreciated for the work I do</c:v>
                </c:pt>
                <c:pt idx="14">
                  <c:v>I would be happy for a friend or relative to access services within my organisation</c:v>
                </c:pt>
                <c:pt idx="15">
                  <c:v>I am confident performance is managed well within my organisation</c:v>
                </c:pt>
                <c:pt idx="16">
                  <c:v>I understand how my role contributes to the goals of my organisation</c:v>
                </c:pt>
                <c:pt idx="17">
                  <c:v>I get the information I need to do my job well</c:v>
                </c:pt>
                <c:pt idx="18">
                  <c:v>I am treated fairly and consistently</c:v>
                </c:pt>
                <c:pt idx="19">
                  <c:v>I am treated with dignity and respect as an individual</c:v>
                </c:pt>
                <c:pt idx="20">
                  <c:v>I do not feel senior managers responsible for the wider organisation are sufficiently visible</c:v>
                </c:pt>
                <c:pt idx="21">
                  <c:v>My team works well together</c:v>
                </c:pt>
                <c:pt idx="22">
                  <c:v>My work gives me a sense of achievement</c:v>
                </c:pt>
                <c:pt idx="23">
                  <c:v>I would recommend my team as a good one to be part of</c:v>
                </c:pt>
                <c:pt idx="24">
                  <c:v>I feel my direct line manager cares about my health and wellbeing</c:v>
                </c:pt>
                <c:pt idx="25">
                  <c:v>I have confidence and trust in my direct line manager</c:v>
                </c:pt>
                <c:pt idx="26">
                  <c:v>My direct line manager is sufficiently approachable</c:v>
                </c:pt>
                <c:pt idx="27">
                  <c:v>I am clear what my duties and responsibilities are</c:v>
                </c:pt>
              </c:strCache>
            </c:strRef>
          </c:cat>
          <c:val>
            <c:numRef>
              <c:f>Sheet2!$G$2:$G$29</c:f>
              <c:numCache>
                <c:formatCode>###0</c:formatCode>
                <c:ptCount val="28"/>
                <c:pt idx="0">
                  <c:v>15</c:v>
                </c:pt>
                <c:pt idx="1">
                  <c:v>24</c:v>
                </c:pt>
                <c:pt idx="2">
                  <c:v>31</c:v>
                </c:pt>
                <c:pt idx="3">
                  <c:v>52</c:v>
                </c:pt>
                <c:pt idx="4">
                  <c:v>53</c:v>
                </c:pt>
                <c:pt idx="5">
                  <c:v>63</c:v>
                </c:pt>
                <c:pt idx="6">
                  <c:v>64</c:v>
                </c:pt>
                <c:pt idx="7">
                  <c:v>66</c:v>
                </c:pt>
                <c:pt idx="8">
                  <c:v>79</c:v>
                </c:pt>
                <c:pt idx="9">
                  <c:v>83</c:v>
                </c:pt>
                <c:pt idx="10">
                  <c:v>84</c:v>
                </c:pt>
                <c:pt idx="11">
                  <c:v>91</c:v>
                </c:pt>
                <c:pt idx="12">
                  <c:v>91</c:v>
                </c:pt>
                <c:pt idx="13">
                  <c:v>94</c:v>
                </c:pt>
                <c:pt idx="14">
                  <c:v>122</c:v>
                </c:pt>
                <c:pt idx="15">
                  <c:v>123</c:v>
                </c:pt>
                <c:pt idx="16">
                  <c:v>184</c:v>
                </c:pt>
                <c:pt idx="17">
                  <c:v>192</c:v>
                </c:pt>
                <c:pt idx="18">
                  <c:v>205</c:v>
                </c:pt>
                <c:pt idx="19">
                  <c:v>224</c:v>
                </c:pt>
                <c:pt idx="20">
                  <c:v>228</c:v>
                </c:pt>
                <c:pt idx="21">
                  <c:v>246</c:v>
                </c:pt>
                <c:pt idx="22">
                  <c:v>277</c:v>
                </c:pt>
                <c:pt idx="23">
                  <c:v>294</c:v>
                </c:pt>
                <c:pt idx="24">
                  <c:v>325</c:v>
                </c:pt>
                <c:pt idx="25">
                  <c:v>336</c:v>
                </c:pt>
                <c:pt idx="26">
                  <c:v>424</c:v>
                </c:pt>
                <c:pt idx="27">
                  <c:v>489</c:v>
                </c:pt>
              </c:numCache>
            </c:numRef>
          </c:val>
        </c:ser>
        <c:dLbls>
          <c:showLegendKey val="0"/>
          <c:showVal val="1"/>
          <c:showCatName val="0"/>
          <c:showSerName val="0"/>
          <c:showPercent val="0"/>
          <c:showBubbleSize val="0"/>
        </c:dLbls>
        <c:gapWidth val="95"/>
        <c:overlap val="100"/>
        <c:axId val="108441984"/>
        <c:axId val="108443520"/>
      </c:barChart>
      <c:catAx>
        <c:axId val="108441984"/>
        <c:scaling>
          <c:orientation val="minMax"/>
        </c:scaling>
        <c:delete val="0"/>
        <c:axPos val="l"/>
        <c:majorTickMark val="none"/>
        <c:minorTickMark val="none"/>
        <c:tickLblPos val="nextTo"/>
        <c:crossAx val="108443520"/>
        <c:crosses val="autoZero"/>
        <c:auto val="1"/>
        <c:lblAlgn val="ctr"/>
        <c:lblOffset val="100"/>
        <c:noMultiLvlLbl val="0"/>
      </c:catAx>
      <c:valAx>
        <c:axId val="108443520"/>
        <c:scaling>
          <c:orientation val="minMax"/>
        </c:scaling>
        <c:delete val="1"/>
        <c:axPos val="b"/>
        <c:numFmt formatCode="0%" sourceLinked="1"/>
        <c:majorTickMark val="none"/>
        <c:minorTickMark val="none"/>
        <c:tickLblPos val="none"/>
        <c:crossAx val="108441984"/>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1"/>
    </mc:Choice>
    <mc:Fallback>
      <c:style val="31"/>
    </mc:Fallback>
  </mc:AlternateContent>
  <c:chart>
    <c:title>
      <c:overlay val="0"/>
    </c:title>
    <c:autoTitleDeleted val="0"/>
    <c:plotArea>
      <c:layout/>
      <c:barChart>
        <c:barDir val="col"/>
        <c:grouping val="clustered"/>
        <c:varyColors val="0"/>
        <c:ser>
          <c:idx val="0"/>
          <c:order val="0"/>
          <c:tx>
            <c:strRef>
              <c:f>profession!$C$1</c:f>
              <c:strCache>
                <c:ptCount val="1"/>
                <c:pt idx="0">
                  <c:v>NHSEEI</c:v>
                </c:pt>
              </c:strCache>
            </c:strRef>
          </c:tx>
          <c:invertIfNegative val="0"/>
          <c:cat>
            <c:strRef>
              <c:f>profession!$A$2:$A$9</c:f>
              <c:strCache>
                <c:ptCount val="8"/>
                <c:pt idx="0">
                  <c:v>Managerial</c:v>
                </c:pt>
                <c:pt idx="1">
                  <c:v>Admin/clerical</c:v>
                </c:pt>
                <c:pt idx="2">
                  <c:v>Medical</c:v>
                </c:pt>
                <c:pt idx="3">
                  <c:v>Nursing</c:v>
                </c:pt>
                <c:pt idx="4">
                  <c:v>AHP</c:v>
                </c:pt>
                <c:pt idx="5">
                  <c:v>Other</c:v>
                </c:pt>
                <c:pt idx="6">
                  <c:v>Corporate</c:v>
                </c:pt>
                <c:pt idx="7">
                  <c:v>Support Services</c:v>
                </c:pt>
              </c:strCache>
            </c:strRef>
          </c:cat>
          <c:val>
            <c:numRef>
              <c:f>profession!$C$2:$C$9</c:f>
              <c:numCache>
                <c:formatCode>0%</c:formatCode>
                <c:ptCount val="8"/>
                <c:pt idx="0">
                  <c:v>0.76875000000000104</c:v>
                </c:pt>
                <c:pt idx="1">
                  <c:v>0.72995159602302595</c:v>
                </c:pt>
                <c:pt idx="2">
                  <c:v>0.70131138392857162</c:v>
                </c:pt>
                <c:pt idx="3">
                  <c:v>0.68970206711858828</c:v>
                </c:pt>
                <c:pt idx="4">
                  <c:v>0.6828571428571425</c:v>
                </c:pt>
                <c:pt idx="5">
                  <c:v>0.67045454545454575</c:v>
                </c:pt>
                <c:pt idx="6">
                  <c:v>0.65823412698412764</c:v>
                </c:pt>
                <c:pt idx="7">
                  <c:v>0.61627668308702788</c:v>
                </c:pt>
              </c:numCache>
            </c:numRef>
          </c:val>
        </c:ser>
        <c:dLbls>
          <c:showLegendKey val="0"/>
          <c:showVal val="0"/>
          <c:showCatName val="0"/>
          <c:showSerName val="0"/>
          <c:showPercent val="0"/>
          <c:showBubbleSize val="0"/>
        </c:dLbls>
        <c:gapWidth val="150"/>
        <c:axId val="109514752"/>
        <c:axId val="109516288"/>
      </c:barChart>
      <c:catAx>
        <c:axId val="109514752"/>
        <c:scaling>
          <c:orientation val="minMax"/>
        </c:scaling>
        <c:delete val="0"/>
        <c:axPos val="b"/>
        <c:majorTickMark val="none"/>
        <c:minorTickMark val="none"/>
        <c:tickLblPos val="nextTo"/>
        <c:crossAx val="109516288"/>
        <c:crosses val="autoZero"/>
        <c:auto val="1"/>
        <c:lblAlgn val="ctr"/>
        <c:lblOffset val="100"/>
        <c:noMultiLvlLbl val="0"/>
      </c:catAx>
      <c:valAx>
        <c:axId val="109516288"/>
        <c:scaling>
          <c:orientation val="minMax"/>
        </c:scaling>
        <c:delete val="0"/>
        <c:axPos val="l"/>
        <c:majorGridlines/>
        <c:numFmt formatCode="0%" sourceLinked="1"/>
        <c:majorTickMark val="none"/>
        <c:minorTickMark val="none"/>
        <c:tickLblPos val="nextTo"/>
        <c:crossAx val="109514752"/>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invertIfNegative val="0"/>
          <c:cat>
            <c:strRef>
              <c:f>'scores revered on 416&amp;22'!$AK$20:$AK$29</c:f>
              <c:strCache>
                <c:ptCount val="10"/>
                <c:pt idx="0">
                  <c:v>0-10</c:v>
                </c:pt>
                <c:pt idx="1">
                  <c:v>11-20</c:v>
                </c:pt>
                <c:pt idx="2">
                  <c:v>21-30</c:v>
                </c:pt>
                <c:pt idx="3">
                  <c:v>31-40</c:v>
                </c:pt>
                <c:pt idx="4">
                  <c:v>41-50</c:v>
                </c:pt>
                <c:pt idx="5">
                  <c:v>51-60</c:v>
                </c:pt>
                <c:pt idx="6">
                  <c:v>61-70</c:v>
                </c:pt>
                <c:pt idx="7">
                  <c:v>71-80</c:v>
                </c:pt>
                <c:pt idx="8">
                  <c:v>81-90</c:v>
                </c:pt>
                <c:pt idx="9">
                  <c:v>91-100</c:v>
                </c:pt>
              </c:strCache>
            </c:strRef>
          </c:cat>
          <c:val>
            <c:numRef>
              <c:f>'scores revered on 416&amp;22'!$AL$20:$AL$29</c:f>
              <c:numCache>
                <c:formatCode>General</c:formatCode>
                <c:ptCount val="10"/>
                <c:pt idx="0">
                  <c:v>0</c:v>
                </c:pt>
                <c:pt idx="1">
                  <c:v>1</c:v>
                </c:pt>
                <c:pt idx="2" formatCode="###0">
                  <c:v>12</c:v>
                </c:pt>
                <c:pt idx="3" formatCode="###0">
                  <c:v>38</c:v>
                </c:pt>
                <c:pt idx="4" formatCode="###0">
                  <c:v>83</c:v>
                </c:pt>
                <c:pt idx="5" formatCode="###0">
                  <c:v>171</c:v>
                </c:pt>
                <c:pt idx="6" formatCode="###0">
                  <c:v>263</c:v>
                </c:pt>
                <c:pt idx="7" formatCode="###0">
                  <c:v>401</c:v>
                </c:pt>
                <c:pt idx="8" formatCode="###0">
                  <c:v>198</c:v>
                </c:pt>
                <c:pt idx="9" formatCode="###0">
                  <c:v>25</c:v>
                </c:pt>
              </c:numCache>
            </c:numRef>
          </c:val>
        </c:ser>
        <c:dLbls>
          <c:showLegendKey val="0"/>
          <c:showVal val="0"/>
          <c:showCatName val="0"/>
          <c:showSerName val="0"/>
          <c:showPercent val="0"/>
          <c:showBubbleSize val="0"/>
        </c:dLbls>
        <c:gapWidth val="0"/>
        <c:axId val="109534208"/>
        <c:axId val="109540480"/>
      </c:barChart>
      <c:catAx>
        <c:axId val="109534208"/>
        <c:scaling>
          <c:orientation val="minMax"/>
        </c:scaling>
        <c:delete val="0"/>
        <c:axPos val="b"/>
        <c:title>
          <c:tx>
            <c:rich>
              <a:bodyPr/>
              <a:lstStyle/>
              <a:p>
                <a:pPr>
                  <a:defRPr/>
                </a:pPr>
                <a:r>
                  <a:rPr lang="en-US"/>
                  <a:t>NHSEEI %</a:t>
                </a:r>
              </a:p>
            </c:rich>
          </c:tx>
          <c:overlay val="0"/>
        </c:title>
        <c:majorTickMark val="none"/>
        <c:minorTickMark val="none"/>
        <c:tickLblPos val="nextTo"/>
        <c:crossAx val="109540480"/>
        <c:crosses val="autoZero"/>
        <c:auto val="1"/>
        <c:lblAlgn val="ctr"/>
        <c:lblOffset val="100"/>
        <c:noMultiLvlLbl val="0"/>
      </c:catAx>
      <c:valAx>
        <c:axId val="109540480"/>
        <c:scaling>
          <c:orientation val="minMax"/>
        </c:scaling>
        <c:delete val="0"/>
        <c:axPos val="l"/>
        <c:title>
          <c:tx>
            <c:rich>
              <a:bodyPr/>
              <a:lstStyle/>
              <a:p>
                <a:pPr>
                  <a:defRPr/>
                </a:pPr>
                <a:r>
                  <a:rPr lang="en-US"/>
                  <a:t>Number of respondents</a:t>
                </a:r>
              </a:p>
            </c:rich>
          </c:tx>
          <c:overlay val="0"/>
        </c:title>
        <c:numFmt formatCode="General" sourceLinked="1"/>
        <c:majorTickMark val="out"/>
        <c:minorTickMark val="none"/>
        <c:tickLblPos val="nextTo"/>
        <c:crossAx val="1095342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invertIfNegative val="0"/>
          <c:cat>
            <c:strRef>
              <c:f>'q29'!$A$3:$A$13</c:f>
              <c:strCache>
                <c:ptCount val="11"/>
                <c:pt idx="0">
                  <c:v>0</c:v>
                </c:pt>
                <c:pt idx="1">
                  <c:v>1</c:v>
                </c:pt>
                <c:pt idx="2">
                  <c:v>2</c:v>
                </c:pt>
                <c:pt idx="3">
                  <c:v>3</c:v>
                </c:pt>
                <c:pt idx="4">
                  <c:v>4</c:v>
                </c:pt>
                <c:pt idx="5">
                  <c:v>5</c:v>
                </c:pt>
                <c:pt idx="6">
                  <c:v>6</c:v>
                </c:pt>
                <c:pt idx="7">
                  <c:v>7</c:v>
                </c:pt>
                <c:pt idx="8">
                  <c:v>8</c:v>
                </c:pt>
                <c:pt idx="9">
                  <c:v>9</c:v>
                </c:pt>
                <c:pt idx="10">
                  <c:v>10</c:v>
                </c:pt>
              </c:strCache>
            </c:strRef>
          </c:cat>
          <c:val>
            <c:numRef>
              <c:f>'q29'!$B$3:$B$13</c:f>
              <c:numCache>
                <c:formatCode>###0</c:formatCode>
                <c:ptCount val="11"/>
                <c:pt idx="0">
                  <c:v>16</c:v>
                </c:pt>
                <c:pt idx="1">
                  <c:v>17</c:v>
                </c:pt>
                <c:pt idx="2">
                  <c:v>30</c:v>
                </c:pt>
                <c:pt idx="3">
                  <c:v>60</c:v>
                </c:pt>
                <c:pt idx="4">
                  <c:v>76</c:v>
                </c:pt>
                <c:pt idx="5">
                  <c:v>165</c:v>
                </c:pt>
                <c:pt idx="6">
                  <c:v>164</c:v>
                </c:pt>
                <c:pt idx="7">
                  <c:v>300</c:v>
                </c:pt>
                <c:pt idx="8">
                  <c:v>228</c:v>
                </c:pt>
                <c:pt idx="9">
                  <c:v>80</c:v>
                </c:pt>
                <c:pt idx="10">
                  <c:v>57</c:v>
                </c:pt>
              </c:numCache>
            </c:numRef>
          </c:val>
        </c:ser>
        <c:dLbls>
          <c:showLegendKey val="0"/>
          <c:showVal val="0"/>
          <c:showCatName val="0"/>
          <c:showSerName val="0"/>
          <c:showPercent val="0"/>
          <c:showBubbleSize val="0"/>
        </c:dLbls>
        <c:gapWidth val="0"/>
        <c:axId val="109552384"/>
        <c:axId val="109554304"/>
      </c:barChart>
      <c:catAx>
        <c:axId val="109552384"/>
        <c:scaling>
          <c:orientation val="minMax"/>
        </c:scaling>
        <c:delete val="0"/>
        <c:axPos val="b"/>
        <c:title>
          <c:tx>
            <c:rich>
              <a:bodyPr/>
              <a:lstStyle/>
              <a:p>
                <a:pPr>
                  <a:defRPr/>
                </a:pPr>
                <a:r>
                  <a:rPr lang="en-US"/>
                  <a:t>Overall within my organisation…</a:t>
                </a:r>
              </a:p>
            </c:rich>
          </c:tx>
          <c:overlay val="0"/>
        </c:title>
        <c:majorTickMark val="none"/>
        <c:minorTickMark val="none"/>
        <c:tickLblPos val="nextTo"/>
        <c:crossAx val="109554304"/>
        <c:crosses val="autoZero"/>
        <c:auto val="1"/>
        <c:lblAlgn val="ctr"/>
        <c:lblOffset val="100"/>
        <c:noMultiLvlLbl val="0"/>
      </c:catAx>
      <c:valAx>
        <c:axId val="109554304"/>
        <c:scaling>
          <c:orientation val="minMax"/>
        </c:scaling>
        <c:delete val="0"/>
        <c:axPos val="l"/>
        <c:title>
          <c:tx>
            <c:rich>
              <a:bodyPr/>
              <a:lstStyle/>
              <a:p>
                <a:pPr>
                  <a:defRPr/>
                </a:pPr>
                <a:r>
                  <a:rPr lang="en-US"/>
                  <a:t>Number of respondents</a:t>
                </a:r>
              </a:p>
            </c:rich>
          </c:tx>
          <c:overlay val="0"/>
        </c:title>
        <c:numFmt formatCode="###0" sourceLinked="1"/>
        <c:majorTickMark val="out"/>
        <c:minorTickMark val="none"/>
        <c:tickLblPos val="nextTo"/>
        <c:crossAx val="1095523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none" strike="noStrike" baseline="0">
                <a:latin typeface="Arial"/>
                <a:ea typeface="Arial"/>
                <a:cs typeface="Arial"/>
              </a:defRPr>
            </a:pPr>
            <a:r>
              <a:rPr lang="en-US"/>
              <a:t>Items</a:t>
            </a:r>
          </a:p>
        </c:rich>
      </c:tx>
      <c:overlay val="0"/>
      <c:spPr>
        <a:effectLst/>
      </c:spPr>
    </c:title>
    <c:autoTitleDeleted val="0"/>
    <c:plotArea>
      <c:layout/>
      <c:bubbleChart>
        <c:varyColors val="0"/>
        <c:ser>
          <c:idx val="0"/>
          <c:order val="0"/>
          <c:tx>
            <c:v>Items</c:v>
          </c:tx>
          <c:spPr>
            <a:solidFill>
              <a:srgbClr val="00FFFF"/>
            </a:solidFill>
            <a:effectLst/>
          </c:spPr>
          <c:invertIfNegative val="1"/>
          <c:dLbls>
            <c:dLbl>
              <c:idx val="0"/>
              <c:tx>
                <c:rich>
                  <a:bodyPr/>
                  <a:lstStyle/>
                  <a:p>
                    <a:r>
                      <a:rPr lang="en-US"/>
                      <a:t>1</a:t>
                    </a:r>
                  </a:p>
                </c:rich>
              </c:tx>
              <c:dLblPos val="ctr"/>
              <c:showLegendKey val="0"/>
              <c:showVal val="1"/>
              <c:showCatName val="0"/>
              <c:showSerName val="0"/>
              <c:showPercent val="0"/>
              <c:showBubbleSize val="0"/>
            </c:dLbl>
            <c:dLbl>
              <c:idx val="1"/>
              <c:tx>
                <c:rich>
                  <a:bodyPr/>
                  <a:lstStyle/>
                  <a:p>
                    <a:r>
                      <a:rPr lang="en-US"/>
                      <a:t>2</a:t>
                    </a:r>
                  </a:p>
                </c:rich>
              </c:tx>
              <c:dLblPos val="ctr"/>
              <c:showLegendKey val="0"/>
              <c:showVal val="1"/>
              <c:showCatName val="0"/>
              <c:showSerName val="0"/>
              <c:showPercent val="0"/>
              <c:showBubbleSize val="0"/>
            </c:dLbl>
            <c:dLbl>
              <c:idx val="2"/>
              <c:tx>
                <c:rich>
                  <a:bodyPr/>
                  <a:lstStyle/>
                  <a:p>
                    <a:r>
                      <a:rPr lang="en-US"/>
                      <a:t>3</a:t>
                    </a:r>
                  </a:p>
                </c:rich>
              </c:tx>
              <c:dLblPos val="ctr"/>
              <c:showLegendKey val="0"/>
              <c:showVal val="1"/>
              <c:showCatName val="0"/>
              <c:showSerName val="0"/>
              <c:showPercent val="0"/>
              <c:showBubbleSize val="0"/>
            </c:dLbl>
            <c:dLbl>
              <c:idx val="3"/>
              <c:tx>
                <c:rich>
                  <a:bodyPr/>
                  <a:lstStyle/>
                  <a:p>
                    <a:r>
                      <a:rPr lang="en-US"/>
                      <a:t>4</a:t>
                    </a:r>
                  </a:p>
                </c:rich>
              </c:tx>
              <c:dLblPos val="ctr"/>
              <c:showLegendKey val="0"/>
              <c:showVal val="1"/>
              <c:showCatName val="0"/>
              <c:showSerName val="0"/>
              <c:showPercent val="0"/>
              <c:showBubbleSize val="0"/>
            </c:dLbl>
            <c:dLbl>
              <c:idx val="4"/>
              <c:tx>
                <c:rich>
                  <a:bodyPr/>
                  <a:lstStyle/>
                  <a:p>
                    <a:r>
                      <a:rPr lang="en-US"/>
                      <a:t>5</a:t>
                    </a:r>
                  </a:p>
                </c:rich>
              </c:tx>
              <c:dLblPos val="ctr"/>
              <c:showLegendKey val="0"/>
              <c:showVal val="1"/>
              <c:showCatName val="0"/>
              <c:showSerName val="0"/>
              <c:showPercent val="0"/>
              <c:showBubbleSize val="0"/>
            </c:dLbl>
            <c:dLbl>
              <c:idx val="5"/>
              <c:tx>
                <c:rich>
                  <a:bodyPr/>
                  <a:lstStyle/>
                  <a:p>
                    <a:r>
                      <a:rPr lang="en-US"/>
                      <a:t>6</a:t>
                    </a:r>
                  </a:p>
                </c:rich>
              </c:tx>
              <c:dLblPos val="ctr"/>
              <c:showLegendKey val="0"/>
              <c:showVal val="1"/>
              <c:showCatName val="0"/>
              <c:showSerName val="0"/>
              <c:showPercent val="0"/>
              <c:showBubbleSize val="0"/>
            </c:dLbl>
            <c:dLbl>
              <c:idx val="6"/>
              <c:tx>
                <c:rich>
                  <a:bodyPr/>
                  <a:lstStyle/>
                  <a:p>
                    <a:r>
                      <a:rPr lang="en-US"/>
                      <a:t>7</a:t>
                    </a:r>
                  </a:p>
                </c:rich>
              </c:tx>
              <c:dLblPos val="ctr"/>
              <c:showLegendKey val="0"/>
              <c:showVal val="1"/>
              <c:showCatName val="0"/>
              <c:showSerName val="0"/>
              <c:showPercent val="0"/>
              <c:showBubbleSize val="0"/>
            </c:dLbl>
            <c:dLbl>
              <c:idx val="7"/>
              <c:tx>
                <c:rich>
                  <a:bodyPr/>
                  <a:lstStyle/>
                  <a:p>
                    <a:r>
                      <a:rPr lang="en-US"/>
                      <a:t>8</a:t>
                    </a:r>
                  </a:p>
                </c:rich>
              </c:tx>
              <c:dLblPos val="ctr"/>
              <c:showLegendKey val="0"/>
              <c:showVal val="1"/>
              <c:showCatName val="0"/>
              <c:showSerName val="0"/>
              <c:showPercent val="0"/>
              <c:showBubbleSize val="0"/>
            </c:dLbl>
            <c:dLbl>
              <c:idx val="8"/>
              <c:tx>
                <c:rich>
                  <a:bodyPr/>
                  <a:lstStyle/>
                  <a:p>
                    <a:r>
                      <a:rPr lang="en-US"/>
                      <a:t>9</a:t>
                    </a:r>
                  </a:p>
                </c:rich>
              </c:tx>
              <c:dLblPos val="ctr"/>
              <c:showLegendKey val="0"/>
              <c:showVal val="1"/>
              <c:showCatName val="0"/>
              <c:showSerName val="0"/>
              <c:showPercent val="0"/>
              <c:showBubbleSize val="0"/>
            </c:dLbl>
            <c:dLbl>
              <c:idx val="9"/>
              <c:tx>
                <c:rich>
                  <a:bodyPr/>
                  <a:lstStyle/>
                  <a:p>
                    <a:r>
                      <a:rPr lang="en-US"/>
                      <a:t>10</a:t>
                    </a:r>
                  </a:p>
                </c:rich>
              </c:tx>
              <c:dLblPos val="ctr"/>
              <c:showLegendKey val="0"/>
              <c:showVal val="1"/>
              <c:showCatName val="0"/>
              <c:showSerName val="0"/>
              <c:showPercent val="0"/>
              <c:showBubbleSize val="0"/>
            </c:dLbl>
            <c:dLbl>
              <c:idx val="10"/>
              <c:tx>
                <c:rich>
                  <a:bodyPr/>
                  <a:lstStyle/>
                  <a:p>
                    <a:r>
                      <a:rPr lang="en-US"/>
                      <a:t>11</a:t>
                    </a:r>
                  </a:p>
                </c:rich>
              </c:tx>
              <c:dLblPos val="ctr"/>
              <c:showLegendKey val="0"/>
              <c:showVal val="1"/>
              <c:showCatName val="0"/>
              <c:showSerName val="0"/>
              <c:showPercent val="0"/>
              <c:showBubbleSize val="0"/>
            </c:dLbl>
            <c:dLbl>
              <c:idx val="11"/>
              <c:tx>
                <c:rich>
                  <a:bodyPr/>
                  <a:lstStyle/>
                  <a:p>
                    <a:r>
                      <a:rPr lang="en-US"/>
                      <a:t>12</a:t>
                    </a:r>
                  </a:p>
                </c:rich>
              </c:tx>
              <c:dLblPos val="ctr"/>
              <c:showLegendKey val="0"/>
              <c:showVal val="1"/>
              <c:showCatName val="0"/>
              <c:showSerName val="0"/>
              <c:showPercent val="0"/>
              <c:showBubbleSize val="0"/>
            </c:dLbl>
            <c:dLbl>
              <c:idx val="12"/>
              <c:tx>
                <c:rich>
                  <a:bodyPr/>
                  <a:lstStyle/>
                  <a:p>
                    <a:r>
                      <a:rPr lang="en-US"/>
                      <a:t>13</a:t>
                    </a:r>
                  </a:p>
                </c:rich>
              </c:tx>
              <c:dLblPos val="ctr"/>
              <c:showLegendKey val="0"/>
              <c:showVal val="1"/>
              <c:showCatName val="0"/>
              <c:showSerName val="0"/>
              <c:showPercent val="0"/>
              <c:showBubbleSize val="0"/>
            </c:dLbl>
            <c:dLbl>
              <c:idx val="13"/>
              <c:tx>
                <c:rich>
                  <a:bodyPr/>
                  <a:lstStyle/>
                  <a:p>
                    <a:r>
                      <a:rPr lang="en-US"/>
                      <a:t>14</a:t>
                    </a:r>
                  </a:p>
                </c:rich>
              </c:tx>
              <c:dLblPos val="ctr"/>
              <c:showLegendKey val="0"/>
              <c:showVal val="1"/>
              <c:showCatName val="0"/>
              <c:showSerName val="0"/>
              <c:showPercent val="0"/>
              <c:showBubbleSize val="0"/>
            </c:dLbl>
            <c:dLbl>
              <c:idx val="14"/>
              <c:tx>
                <c:rich>
                  <a:bodyPr/>
                  <a:lstStyle/>
                  <a:p>
                    <a:r>
                      <a:rPr lang="en-US"/>
                      <a:t>15</a:t>
                    </a:r>
                  </a:p>
                </c:rich>
              </c:tx>
              <c:dLblPos val="ctr"/>
              <c:showLegendKey val="0"/>
              <c:showVal val="1"/>
              <c:showCatName val="0"/>
              <c:showSerName val="0"/>
              <c:showPercent val="0"/>
              <c:showBubbleSize val="0"/>
            </c:dLbl>
            <c:dLbl>
              <c:idx val="15"/>
              <c:tx>
                <c:rich>
                  <a:bodyPr/>
                  <a:lstStyle/>
                  <a:p>
                    <a:r>
                      <a:rPr lang="en-US"/>
                      <a:t>16</a:t>
                    </a:r>
                  </a:p>
                </c:rich>
              </c:tx>
              <c:dLblPos val="ctr"/>
              <c:showLegendKey val="0"/>
              <c:showVal val="1"/>
              <c:showCatName val="0"/>
              <c:showSerName val="0"/>
              <c:showPercent val="0"/>
              <c:showBubbleSize val="0"/>
            </c:dLbl>
            <c:dLbl>
              <c:idx val="16"/>
              <c:tx>
                <c:rich>
                  <a:bodyPr/>
                  <a:lstStyle/>
                  <a:p>
                    <a:r>
                      <a:rPr lang="en-US"/>
                      <a:t>17</a:t>
                    </a:r>
                  </a:p>
                </c:rich>
              </c:tx>
              <c:dLblPos val="ctr"/>
              <c:showLegendKey val="0"/>
              <c:showVal val="1"/>
              <c:showCatName val="0"/>
              <c:showSerName val="0"/>
              <c:showPercent val="0"/>
              <c:showBubbleSize val="0"/>
            </c:dLbl>
            <c:dLbl>
              <c:idx val="17"/>
              <c:tx>
                <c:rich>
                  <a:bodyPr/>
                  <a:lstStyle/>
                  <a:p>
                    <a:r>
                      <a:rPr lang="en-US"/>
                      <a:t>18</a:t>
                    </a:r>
                  </a:p>
                </c:rich>
              </c:tx>
              <c:dLblPos val="ctr"/>
              <c:showLegendKey val="0"/>
              <c:showVal val="1"/>
              <c:showCatName val="0"/>
              <c:showSerName val="0"/>
              <c:showPercent val="0"/>
              <c:showBubbleSize val="0"/>
            </c:dLbl>
            <c:dLbl>
              <c:idx val="18"/>
              <c:tx>
                <c:rich>
                  <a:bodyPr/>
                  <a:lstStyle/>
                  <a:p>
                    <a:r>
                      <a:rPr lang="en-US"/>
                      <a:t>19</a:t>
                    </a:r>
                  </a:p>
                </c:rich>
              </c:tx>
              <c:dLblPos val="ctr"/>
              <c:showLegendKey val="0"/>
              <c:showVal val="1"/>
              <c:showCatName val="0"/>
              <c:showSerName val="0"/>
              <c:showPercent val="0"/>
              <c:showBubbleSize val="0"/>
            </c:dLbl>
            <c:dLbl>
              <c:idx val="19"/>
              <c:tx>
                <c:rich>
                  <a:bodyPr/>
                  <a:lstStyle/>
                  <a:p>
                    <a:r>
                      <a:rPr lang="en-US"/>
                      <a:t>20</a:t>
                    </a:r>
                  </a:p>
                </c:rich>
              </c:tx>
              <c:dLblPos val="ctr"/>
              <c:showLegendKey val="0"/>
              <c:showVal val="1"/>
              <c:showCatName val="0"/>
              <c:showSerName val="0"/>
              <c:showPercent val="0"/>
              <c:showBubbleSize val="0"/>
            </c:dLbl>
            <c:dLbl>
              <c:idx val="20"/>
              <c:tx>
                <c:rich>
                  <a:bodyPr/>
                  <a:lstStyle/>
                  <a:p>
                    <a:r>
                      <a:rPr lang="en-US"/>
                      <a:t>21</a:t>
                    </a:r>
                  </a:p>
                </c:rich>
              </c:tx>
              <c:dLblPos val="ctr"/>
              <c:showLegendKey val="0"/>
              <c:showVal val="1"/>
              <c:showCatName val="0"/>
              <c:showSerName val="0"/>
              <c:showPercent val="0"/>
              <c:showBubbleSize val="0"/>
            </c:dLbl>
            <c:dLbl>
              <c:idx val="21"/>
              <c:tx>
                <c:rich>
                  <a:bodyPr/>
                  <a:lstStyle/>
                  <a:p>
                    <a:r>
                      <a:rPr lang="en-US"/>
                      <a:t>22</a:t>
                    </a:r>
                  </a:p>
                </c:rich>
              </c:tx>
              <c:dLblPos val="ctr"/>
              <c:showLegendKey val="0"/>
              <c:showVal val="1"/>
              <c:showCatName val="0"/>
              <c:showSerName val="0"/>
              <c:showPercent val="0"/>
              <c:showBubbleSize val="0"/>
            </c:dLbl>
            <c:dLbl>
              <c:idx val="22"/>
              <c:tx>
                <c:rich>
                  <a:bodyPr/>
                  <a:lstStyle/>
                  <a:p>
                    <a:r>
                      <a:rPr lang="en-US"/>
                      <a:t>23</a:t>
                    </a:r>
                  </a:p>
                </c:rich>
              </c:tx>
              <c:dLblPos val="ctr"/>
              <c:showLegendKey val="0"/>
              <c:showVal val="1"/>
              <c:showCatName val="0"/>
              <c:showSerName val="0"/>
              <c:showPercent val="0"/>
              <c:showBubbleSize val="0"/>
            </c:dLbl>
            <c:dLbl>
              <c:idx val="23"/>
              <c:tx>
                <c:rich>
                  <a:bodyPr/>
                  <a:lstStyle/>
                  <a:p>
                    <a:r>
                      <a:rPr lang="en-US"/>
                      <a:t>24</a:t>
                    </a:r>
                  </a:p>
                </c:rich>
              </c:tx>
              <c:dLblPos val="ctr"/>
              <c:showLegendKey val="0"/>
              <c:showVal val="1"/>
              <c:showCatName val="0"/>
              <c:showSerName val="0"/>
              <c:showPercent val="0"/>
              <c:showBubbleSize val="0"/>
            </c:dLbl>
            <c:dLbl>
              <c:idx val="24"/>
              <c:tx>
                <c:rich>
                  <a:bodyPr/>
                  <a:lstStyle/>
                  <a:p>
                    <a:r>
                      <a:rPr lang="en-US"/>
                      <a:t>25</a:t>
                    </a:r>
                  </a:p>
                </c:rich>
              </c:tx>
              <c:dLblPos val="ctr"/>
              <c:showLegendKey val="0"/>
              <c:showVal val="1"/>
              <c:showCatName val="0"/>
              <c:showSerName val="0"/>
              <c:showPercent val="0"/>
              <c:showBubbleSize val="0"/>
            </c:dLbl>
            <c:dLbl>
              <c:idx val="25"/>
              <c:tx>
                <c:rich>
                  <a:bodyPr/>
                  <a:lstStyle/>
                  <a:p>
                    <a:r>
                      <a:rPr lang="en-US"/>
                      <a:t>26</a:t>
                    </a:r>
                  </a:p>
                </c:rich>
              </c:tx>
              <c:dLblPos val="ctr"/>
              <c:showLegendKey val="0"/>
              <c:showVal val="1"/>
              <c:showCatName val="0"/>
              <c:showSerName val="0"/>
              <c:showPercent val="0"/>
              <c:showBubbleSize val="0"/>
            </c:dLbl>
            <c:dLbl>
              <c:idx val="26"/>
              <c:tx>
                <c:rich>
                  <a:bodyPr/>
                  <a:lstStyle/>
                  <a:p>
                    <a:r>
                      <a:rPr lang="en-US"/>
                      <a:t>27</a:t>
                    </a:r>
                  </a:p>
                </c:rich>
              </c:tx>
              <c:dLblPos val="ctr"/>
              <c:showLegendKey val="0"/>
              <c:showVal val="1"/>
              <c:showCatName val="0"/>
              <c:showSerName val="0"/>
              <c:showPercent val="0"/>
              <c:showBubbleSize val="0"/>
            </c:dLbl>
            <c:dLbl>
              <c:idx val="27"/>
              <c:tx>
                <c:rich>
                  <a:bodyPr/>
                  <a:lstStyle/>
                  <a:p>
                    <a:r>
                      <a:rPr lang="en-US"/>
                      <a:t>28</a:t>
                    </a:r>
                  </a:p>
                </c:rich>
              </c:tx>
              <c:dLblPos val="ctr"/>
              <c:showLegendKey val="0"/>
              <c:showVal val="1"/>
              <c:showCatName val="0"/>
              <c:showSerName val="0"/>
              <c:showPercent val="0"/>
              <c:showBubbleSize val="0"/>
            </c:dLbl>
            <c:spPr>
              <a:effectLst/>
            </c:spPr>
            <c:txPr>
              <a:bodyPr rot="-1800000" vert="horz"/>
              <a:lstStyle/>
              <a:p>
                <a:pPr algn="ctr">
                  <a:defRPr sz="800" b="1" i="0" u="none" strike="noStrike" baseline="0">
                    <a:latin typeface="Arial"/>
                    <a:ea typeface="Arial"/>
                    <a:cs typeface="Arial"/>
                  </a:defRPr>
                </a:pPr>
                <a:endParaRPr lang="en-US"/>
              </a:p>
            </c:txPr>
            <c:dLblPos val="ctr"/>
            <c:showLegendKey val="0"/>
            <c:showVal val="0"/>
            <c:showCatName val="0"/>
            <c:showSerName val="0"/>
            <c:showPercent val="0"/>
            <c:showBubbleSize val="0"/>
          </c:dLbls>
          <c:xVal>
            <c:numRef>
              <c:f>[Z00920WS.TXT]Worksheet!$C$3:$C$30</c:f>
              <c:numCache>
                <c:formatCode>General</c:formatCode>
                <c:ptCount val="28"/>
                <c:pt idx="0">
                  <c:v>1</c:v>
                </c:pt>
                <c:pt idx="1">
                  <c:v>0.73000000000000065</c:v>
                </c:pt>
                <c:pt idx="2">
                  <c:v>0.93</c:v>
                </c:pt>
                <c:pt idx="3">
                  <c:v>2.68</c:v>
                </c:pt>
                <c:pt idx="4">
                  <c:v>0.63000000000000111</c:v>
                </c:pt>
                <c:pt idx="5">
                  <c:v>0.55000000000000004</c:v>
                </c:pt>
                <c:pt idx="6">
                  <c:v>0.71000000000000063</c:v>
                </c:pt>
                <c:pt idx="7">
                  <c:v>0.79</c:v>
                </c:pt>
                <c:pt idx="8">
                  <c:v>0.76000000000000112</c:v>
                </c:pt>
                <c:pt idx="9">
                  <c:v>0.76000000000000112</c:v>
                </c:pt>
                <c:pt idx="10">
                  <c:v>0.64000000000000112</c:v>
                </c:pt>
                <c:pt idx="11">
                  <c:v>1.1700000000000019</c:v>
                </c:pt>
                <c:pt idx="12">
                  <c:v>1.1599999999999977</c:v>
                </c:pt>
                <c:pt idx="13">
                  <c:v>1.4</c:v>
                </c:pt>
                <c:pt idx="14">
                  <c:v>1.1700000000000019</c:v>
                </c:pt>
                <c:pt idx="15">
                  <c:v>2.77</c:v>
                </c:pt>
                <c:pt idx="16">
                  <c:v>0.74000000000000099</c:v>
                </c:pt>
                <c:pt idx="17">
                  <c:v>1.0900000000000001</c:v>
                </c:pt>
                <c:pt idx="18">
                  <c:v>1.08</c:v>
                </c:pt>
                <c:pt idx="19">
                  <c:v>0.96000000000000063</c:v>
                </c:pt>
                <c:pt idx="20">
                  <c:v>0.63000000000000111</c:v>
                </c:pt>
                <c:pt idx="21">
                  <c:v>2.75</c:v>
                </c:pt>
                <c:pt idx="22">
                  <c:v>0.68</c:v>
                </c:pt>
                <c:pt idx="23">
                  <c:v>0.72000000000000064</c:v>
                </c:pt>
                <c:pt idx="24">
                  <c:v>0.58000000000000007</c:v>
                </c:pt>
                <c:pt idx="25">
                  <c:v>0.71000000000000063</c:v>
                </c:pt>
                <c:pt idx="26">
                  <c:v>0.56000000000000005</c:v>
                </c:pt>
                <c:pt idx="27">
                  <c:v>0.77000000000000113</c:v>
                </c:pt>
              </c:numCache>
            </c:numRef>
          </c:xVal>
          <c:yVal>
            <c:numRef>
              <c:f>[Z00920WS.TXT]Worksheet!$B$3:$B$30</c:f>
              <c:numCache>
                <c:formatCode>General</c:formatCode>
                <c:ptCount val="28"/>
                <c:pt idx="0">
                  <c:v>-1.47</c:v>
                </c:pt>
                <c:pt idx="1">
                  <c:v>-0.5</c:v>
                </c:pt>
                <c:pt idx="2">
                  <c:v>0.49000000000000032</c:v>
                </c:pt>
                <c:pt idx="3">
                  <c:v>0.84000000000000064</c:v>
                </c:pt>
                <c:pt idx="4">
                  <c:v>0.16</c:v>
                </c:pt>
                <c:pt idx="5">
                  <c:v>0.42000000000000032</c:v>
                </c:pt>
                <c:pt idx="6">
                  <c:v>0.35000000000000031</c:v>
                </c:pt>
                <c:pt idx="7">
                  <c:v>-0.35000000000000031</c:v>
                </c:pt>
                <c:pt idx="8">
                  <c:v>-0.23</c:v>
                </c:pt>
                <c:pt idx="9">
                  <c:v>0.4</c:v>
                </c:pt>
                <c:pt idx="10">
                  <c:v>0.35000000000000031</c:v>
                </c:pt>
                <c:pt idx="11">
                  <c:v>-0.47000000000000008</c:v>
                </c:pt>
                <c:pt idx="12">
                  <c:v>-0.52</c:v>
                </c:pt>
                <c:pt idx="13">
                  <c:v>-0.8</c:v>
                </c:pt>
                <c:pt idx="14">
                  <c:v>-0.43000000000000038</c:v>
                </c:pt>
                <c:pt idx="15">
                  <c:v>0.83000000000000063</c:v>
                </c:pt>
                <c:pt idx="16">
                  <c:v>6.0000000000000032E-2</c:v>
                </c:pt>
                <c:pt idx="17">
                  <c:v>-0.44</c:v>
                </c:pt>
                <c:pt idx="18">
                  <c:v>-0.55000000000000004</c:v>
                </c:pt>
                <c:pt idx="19">
                  <c:v>-0.59</c:v>
                </c:pt>
                <c:pt idx="20">
                  <c:v>0.34</c:v>
                </c:pt>
                <c:pt idx="21">
                  <c:v>-0.14000000000000001</c:v>
                </c:pt>
                <c:pt idx="22">
                  <c:v>0.55000000000000004</c:v>
                </c:pt>
                <c:pt idx="23">
                  <c:v>1.06</c:v>
                </c:pt>
                <c:pt idx="24">
                  <c:v>0.62000000000000099</c:v>
                </c:pt>
                <c:pt idx="25">
                  <c:v>0.19</c:v>
                </c:pt>
                <c:pt idx="26">
                  <c:v>7.0000000000000021E-2</c:v>
                </c:pt>
                <c:pt idx="27">
                  <c:v>-0.23</c:v>
                </c:pt>
              </c:numCache>
            </c:numRef>
          </c:yVal>
          <c:bubbleSize>
            <c:numRef>
              <c:f>[Z00920WS.TXT]Worksheet!$D$3:$D$30</c:f>
              <c:numCache>
                <c:formatCode>General</c:formatCode>
                <c:ptCount val="28"/>
                <c:pt idx="0">
                  <c:v>4.0000000000000022E-2</c:v>
                </c:pt>
                <c:pt idx="1">
                  <c:v>3.0000000000000002E-2</c:v>
                </c:pt>
                <c:pt idx="2">
                  <c:v>3.0000000000000002E-2</c:v>
                </c:pt>
                <c:pt idx="3">
                  <c:v>3.0000000000000002E-2</c:v>
                </c:pt>
                <c:pt idx="4">
                  <c:v>3.0000000000000002E-2</c:v>
                </c:pt>
                <c:pt idx="5">
                  <c:v>3.0000000000000002E-2</c:v>
                </c:pt>
                <c:pt idx="6">
                  <c:v>3.0000000000000002E-2</c:v>
                </c:pt>
                <c:pt idx="7">
                  <c:v>3.0000000000000002E-2</c:v>
                </c:pt>
                <c:pt idx="8">
                  <c:v>3.0000000000000002E-2</c:v>
                </c:pt>
                <c:pt idx="9">
                  <c:v>3.0000000000000002E-2</c:v>
                </c:pt>
                <c:pt idx="10">
                  <c:v>3.0000000000000002E-2</c:v>
                </c:pt>
                <c:pt idx="11">
                  <c:v>3.0000000000000002E-2</c:v>
                </c:pt>
                <c:pt idx="12">
                  <c:v>3.0000000000000002E-2</c:v>
                </c:pt>
                <c:pt idx="13">
                  <c:v>4.0000000000000022E-2</c:v>
                </c:pt>
                <c:pt idx="14">
                  <c:v>3.0000000000000002E-2</c:v>
                </c:pt>
                <c:pt idx="15">
                  <c:v>3.0000000000000002E-2</c:v>
                </c:pt>
                <c:pt idx="16">
                  <c:v>3.0000000000000002E-2</c:v>
                </c:pt>
                <c:pt idx="17">
                  <c:v>3.0000000000000002E-2</c:v>
                </c:pt>
                <c:pt idx="18">
                  <c:v>3.0000000000000002E-2</c:v>
                </c:pt>
                <c:pt idx="19">
                  <c:v>3.0000000000000002E-2</c:v>
                </c:pt>
                <c:pt idx="20">
                  <c:v>3.0000000000000002E-2</c:v>
                </c:pt>
                <c:pt idx="21">
                  <c:v>3.0000000000000002E-2</c:v>
                </c:pt>
                <c:pt idx="22">
                  <c:v>3.0000000000000002E-2</c:v>
                </c:pt>
                <c:pt idx="23">
                  <c:v>3.0000000000000002E-2</c:v>
                </c:pt>
                <c:pt idx="24">
                  <c:v>3.0000000000000002E-2</c:v>
                </c:pt>
                <c:pt idx="25">
                  <c:v>3.0000000000000002E-2</c:v>
                </c:pt>
                <c:pt idx="26">
                  <c:v>3.0000000000000002E-2</c:v>
                </c:pt>
                <c:pt idx="27">
                  <c:v>3.0000000000000002E-2</c:v>
                </c:pt>
              </c:numCache>
            </c:numRef>
          </c:bubbleSize>
          <c:bubble3D val="0"/>
          <c:extLst>
            <c:ext xmlns:c14="http://schemas.microsoft.com/office/drawing/2007/8/2/chart" uri="{6F2FDCE9-48DA-4B69-8628-5D25D57E5C99}">
              <c14:invertSolidFillFmt>
                <c14:spPr xmlns:c14="http://schemas.microsoft.com/office/drawing/2007/8/2/chart">
                  <a:solidFill>
                    <a:srgbClr val="FFFFFF"/>
                  </a:solidFill>
                  <a:effectLst/>
                </c14:spPr>
              </c14:invertSolidFillFmt>
            </c:ext>
          </c:extLst>
        </c:ser>
        <c:dLbls>
          <c:showLegendKey val="0"/>
          <c:showVal val="0"/>
          <c:showCatName val="0"/>
          <c:showSerName val="0"/>
          <c:showPercent val="0"/>
          <c:showBubbleSize val="0"/>
        </c:dLbls>
        <c:bubbleScale val="20"/>
        <c:showNegBubbles val="1"/>
        <c:sizeRepresents val="w"/>
        <c:axId val="109922560"/>
        <c:axId val="109949312"/>
      </c:bubbleChart>
      <c:valAx>
        <c:axId val="109922560"/>
        <c:scaling>
          <c:orientation val="minMax"/>
        </c:scaling>
        <c:delete val="0"/>
        <c:axPos val="b"/>
        <c:majorGridlines/>
        <c:title>
          <c:tx>
            <c:rich>
              <a:bodyPr/>
              <a:lstStyle/>
              <a:p>
                <a:pPr>
                  <a:defRPr sz="1400" b="1" i="0" u="none" strike="noStrike" baseline="0">
                    <a:latin typeface="Arial"/>
                    <a:ea typeface="Arial"/>
                    <a:cs typeface="Arial"/>
                  </a:defRPr>
                </a:pPr>
                <a:r>
                  <a:rPr lang="en-GB"/>
                  <a:t>Infit Mean-square</a:t>
                </a:r>
              </a:p>
            </c:rich>
          </c:tx>
          <c:overlay val="0"/>
          <c:spPr>
            <a:effectLst/>
          </c:spPr>
        </c:title>
        <c:numFmt formatCode="General" sourceLinked="1"/>
        <c:majorTickMark val="cross"/>
        <c:minorTickMark val="none"/>
        <c:tickLblPos val="nextTo"/>
        <c:spPr>
          <a:ln w="3175">
            <a:solidFill>
              <a:srgbClr val="000000"/>
            </a:solidFill>
            <a:prstDash val="sysDash"/>
          </a:ln>
        </c:spPr>
        <c:crossAx val="109949312"/>
        <c:crosses val="min"/>
        <c:crossBetween val="midCat"/>
        <c:majorUnit val="1"/>
        <c:minorUnit val="1"/>
      </c:valAx>
      <c:valAx>
        <c:axId val="109949312"/>
        <c:scaling>
          <c:orientation val="minMax"/>
        </c:scaling>
        <c:delete val="0"/>
        <c:axPos val="l"/>
        <c:title>
          <c:tx>
            <c:rich>
              <a:bodyPr rot="5400000" vert="horz"/>
              <a:lstStyle/>
              <a:p>
                <a:pPr algn="ctr">
                  <a:defRPr sz="1600" b="1" i="0" u="none" strike="noStrike" baseline="0">
                    <a:latin typeface="Arial"/>
                    <a:ea typeface="Arial"/>
                    <a:cs typeface="Arial"/>
                  </a:defRPr>
                </a:pPr>
                <a:r>
                  <a:rPr lang="en-GB"/>
                  <a:t>Measures</a:t>
                </a:r>
              </a:p>
            </c:rich>
          </c:tx>
          <c:overlay val="0"/>
          <c:spPr>
            <a:effectLst/>
          </c:spPr>
        </c:title>
        <c:numFmt formatCode="General" sourceLinked="1"/>
        <c:majorTickMark val="out"/>
        <c:minorTickMark val="none"/>
        <c:tickLblPos val="nextTo"/>
        <c:crossAx val="109922560"/>
        <c:crosses val="min"/>
        <c:crossBetween val="midCat"/>
        <c:majorUnit val="1"/>
        <c:minorUnit val="1"/>
      </c:valAx>
      <c:spPr>
        <a:solidFill>
          <a:srgbClr val="FFFF00"/>
        </a:solidFill>
        <a:ln w="12700">
          <a:solidFill>
            <a:srgbClr val="808080"/>
          </a:solidFill>
          <a:prstDash val="solid"/>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1" i="0" u="none" strike="noStrike" baseline="0">
                <a:latin typeface="Arial"/>
                <a:ea typeface="Arial"/>
                <a:cs typeface="Arial"/>
              </a:defRPr>
            </a:pPr>
            <a:r>
              <a:rPr lang="en-US"/>
              <a:t>Items</a:t>
            </a:r>
          </a:p>
        </c:rich>
      </c:tx>
      <c:overlay val="0"/>
      <c:spPr>
        <a:effectLst/>
      </c:spPr>
    </c:title>
    <c:autoTitleDeleted val="0"/>
    <c:plotArea>
      <c:layout/>
      <c:bubbleChart>
        <c:varyColors val="0"/>
        <c:ser>
          <c:idx val="0"/>
          <c:order val="0"/>
          <c:tx>
            <c:v>Items</c:v>
          </c:tx>
          <c:spPr>
            <a:solidFill>
              <a:srgbClr val="00FFFF"/>
            </a:solidFill>
            <a:effectLst/>
          </c:spPr>
          <c:invertIfNegative val="1"/>
          <c:dLbls>
            <c:dLbl>
              <c:idx val="0"/>
              <c:tx>
                <c:rich>
                  <a:bodyPr/>
                  <a:lstStyle/>
                  <a:p>
                    <a:r>
                      <a:rPr lang="en-US"/>
                      <a:t>1</a:t>
                    </a:r>
                  </a:p>
                </c:rich>
              </c:tx>
              <c:dLblPos val="ctr"/>
              <c:showLegendKey val="0"/>
              <c:showVal val="1"/>
              <c:showCatName val="0"/>
              <c:showSerName val="0"/>
              <c:showPercent val="0"/>
              <c:showBubbleSize val="0"/>
            </c:dLbl>
            <c:dLbl>
              <c:idx val="1"/>
              <c:tx>
                <c:rich>
                  <a:bodyPr/>
                  <a:lstStyle/>
                  <a:p>
                    <a:r>
                      <a:rPr lang="en-US"/>
                      <a:t>2</a:t>
                    </a:r>
                  </a:p>
                </c:rich>
              </c:tx>
              <c:dLblPos val="ctr"/>
              <c:showLegendKey val="0"/>
              <c:showVal val="1"/>
              <c:showCatName val="0"/>
              <c:showSerName val="0"/>
              <c:showPercent val="0"/>
              <c:showBubbleSize val="0"/>
            </c:dLbl>
            <c:dLbl>
              <c:idx val="2"/>
              <c:tx>
                <c:rich>
                  <a:bodyPr/>
                  <a:lstStyle/>
                  <a:p>
                    <a:r>
                      <a:rPr lang="en-US"/>
                      <a:t>3</a:t>
                    </a:r>
                  </a:p>
                </c:rich>
              </c:tx>
              <c:dLblPos val="ctr"/>
              <c:showLegendKey val="0"/>
              <c:showVal val="1"/>
              <c:showCatName val="0"/>
              <c:showSerName val="0"/>
              <c:showPercent val="0"/>
              <c:showBubbleSize val="0"/>
            </c:dLbl>
            <c:dLbl>
              <c:idx val="3"/>
              <c:tx>
                <c:rich>
                  <a:bodyPr/>
                  <a:lstStyle/>
                  <a:p>
                    <a:r>
                      <a:rPr lang="en-US"/>
                      <a:t>5</a:t>
                    </a:r>
                  </a:p>
                </c:rich>
              </c:tx>
              <c:dLblPos val="ctr"/>
              <c:showLegendKey val="0"/>
              <c:showVal val="1"/>
              <c:showCatName val="0"/>
              <c:showSerName val="0"/>
              <c:showPercent val="0"/>
              <c:showBubbleSize val="0"/>
            </c:dLbl>
            <c:dLbl>
              <c:idx val="4"/>
              <c:tx>
                <c:rich>
                  <a:bodyPr/>
                  <a:lstStyle/>
                  <a:p>
                    <a:r>
                      <a:rPr lang="en-US"/>
                      <a:t>6</a:t>
                    </a:r>
                  </a:p>
                </c:rich>
              </c:tx>
              <c:dLblPos val="ctr"/>
              <c:showLegendKey val="0"/>
              <c:showVal val="1"/>
              <c:showCatName val="0"/>
              <c:showSerName val="0"/>
              <c:showPercent val="0"/>
              <c:showBubbleSize val="0"/>
            </c:dLbl>
            <c:dLbl>
              <c:idx val="5"/>
              <c:tx>
                <c:rich>
                  <a:bodyPr/>
                  <a:lstStyle/>
                  <a:p>
                    <a:r>
                      <a:rPr lang="en-US"/>
                      <a:t>7</a:t>
                    </a:r>
                  </a:p>
                </c:rich>
              </c:tx>
              <c:dLblPos val="ctr"/>
              <c:showLegendKey val="0"/>
              <c:showVal val="1"/>
              <c:showCatName val="0"/>
              <c:showSerName val="0"/>
              <c:showPercent val="0"/>
              <c:showBubbleSize val="0"/>
            </c:dLbl>
            <c:dLbl>
              <c:idx val="6"/>
              <c:tx>
                <c:rich>
                  <a:bodyPr/>
                  <a:lstStyle/>
                  <a:p>
                    <a:r>
                      <a:rPr lang="en-US"/>
                      <a:t>8</a:t>
                    </a:r>
                  </a:p>
                </c:rich>
              </c:tx>
              <c:dLblPos val="ctr"/>
              <c:showLegendKey val="0"/>
              <c:showVal val="1"/>
              <c:showCatName val="0"/>
              <c:showSerName val="0"/>
              <c:showPercent val="0"/>
              <c:showBubbleSize val="0"/>
            </c:dLbl>
            <c:dLbl>
              <c:idx val="7"/>
              <c:tx>
                <c:rich>
                  <a:bodyPr/>
                  <a:lstStyle/>
                  <a:p>
                    <a:r>
                      <a:rPr lang="en-US"/>
                      <a:t>9</a:t>
                    </a:r>
                  </a:p>
                </c:rich>
              </c:tx>
              <c:dLblPos val="ctr"/>
              <c:showLegendKey val="0"/>
              <c:showVal val="1"/>
              <c:showCatName val="0"/>
              <c:showSerName val="0"/>
              <c:showPercent val="0"/>
              <c:showBubbleSize val="0"/>
            </c:dLbl>
            <c:dLbl>
              <c:idx val="8"/>
              <c:tx>
                <c:rich>
                  <a:bodyPr/>
                  <a:lstStyle/>
                  <a:p>
                    <a:r>
                      <a:rPr lang="en-US"/>
                      <a:t>10</a:t>
                    </a:r>
                  </a:p>
                </c:rich>
              </c:tx>
              <c:dLblPos val="ctr"/>
              <c:showLegendKey val="0"/>
              <c:showVal val="1"/>
              <c:showCatName val="0"/>
              <c:showSerName val="0"/>
              <c:showPercent val="0"/>
              <c:showBubbleSize val="0"/>
            </c:dLbl>
            <c:dLbl>
              <c:idx val="9"/>
              <c:tx>
                <c:rich>
                  <a:bodyPr/>
                  <a:lstStyle/>
                  <a:p>
                    <a:r>
                      <a:rPr lang="en-US"/>
                      <a:t>11</a:t>
                    </a:r>
                  </a:p>
                </c:rich>
              </c:tx>
              <c:dLblPos val="ctr"/>
              <c:showLegendKey val="0"/>
              <c:showVal val="1"/>
              <c:showCatName val="0"/>
              <c:showSerName val="0"/>
              <c:showPercent val="0"/>
              <c:showBubbleSize val="0"/>
            </c:dLbl>
            <c:dLbl>
              <c:idx val="10"/>
              <c:tx>
                <c:rich>
                  <a:bodyPr/>
                  <a:lstStyle/>
                  <a:p>
                    <a:r>
                      <a:rPr lang="en-US"/>
                      <a:t>12</a:t>
                    </a:r>
                  </a:p>
                </c:rich>
              </c:tx>
              <c:dLblPos val="ctr"/>
              <c:showLegendKey val="0"/>
              <c:showVal val="1"/>
              <c:showCatName val="0"/>
              <c:showSerName val="0"/>
              <c:showPercent val="0"/>
              <c:showBubbleSize val="0"/>
            </c:dLbl>
            <c:dLbl>
              <c:idx val="11"/>
              <c:tx>
                <c:rich>
                  <a:bodyPr/>
                  <a:lstStyle/>
                  <a:p>
                    <a:r>
                      <a:rPr lang="en-US"/>
                      <a:t>13</a:t>
                    </a:r>
                  </a:p>
                </c:rich>
              </c:tx>
              <c:dLblPos val="ctr"/>
              <c:showLegendKey val="0"/>
              <c:showVal val="1"/>
              <c:showCatName val="0"/>
              <c:showSerName val="0"/>
              <c:showPercent val="0"/>
              <c:showBubbleSize val="0"/>
            </c:dLbl>
            <c:dLbl>
              <c:idx val="12"/>
              <c:tx>
                <c:rich>
                  <a:bodyPr/>
                  <a:lstStyle/>
                  <a:p>
                    <a:r>
                      <a:rPr lang="en-US"/>
                      <a:t>14</a:t>
                    </a:r>
                  </a:p>
                </c:rich>
              </c:tx>
              <c:dLblPos val="ctr"/>
              <c:showLegendKey val="0"/>
              <c:showVal val="1"/>
              <c:showCatName val="0"/>
              <c:showSerName val="0"/>
              <c:showPercent val="0"/>
              <c:showBubbleSize val="0"/>
            </c:dLbl>
            <c:dLbl>
              <c:idx val="13"/>
              <c:tx>
                <c:rich>
                  <a:bodyPr/>
                  <a:lstStyle/>
                  <a:p>
                    <a:r>
                      <a:rPr lang="en-US"/>
                      <a:t>15</a:t>
                    </a:r>
                  </a:p>
                </c:rich>
              </c:tx>
              <c:dLblPos val="ctr"/>
              <c:showLegendKey val="0"/>
              <c:showVal val="1"/>
              <c:showCatName val="0"/>
              <c:showSerName val="0"/>
              <c:showPercent val="0"/>
              <c:showBubbleSize val="0"/>
            </c:dLbl>
            <c:dLbl>
              <c:idx val="14"/>
              <c:tx>
                <c:rich>
                  <a:bodyPr/>
                  <a:lstStyle/>
                  <a:p>
                    <a:r>
                      <a:rPr lang="en-US"/>
                      <a:t>17</a:t>
                    </a:r>
                  </a:p>
                </c:rich>
              </c:tx>
              <c:dLblPos val="ctr"/>
              <c:showLegendKey val="0"/>
              <c:showVal val="1"/>
              <c:showCatName val="0"/>
              <c:showSerName val="0"/>
              <c:showPercent val="0"/>
              <c:showBubbleSize val="0"/>
            </c:dLbl>
            <c:dLbl>
              <c:idx val="15"/>
              <c:tx>
                <c:rich>
                  <a:bodyPr/>
                  <a:lstStyle/>
                  <a:p>
                    <a:r>
                      <a:rPr lang="en-US"/>
                      <a:t>18</a:t>
                    </a:r>
                  </a:p>
                </c:rich>
              </c:tx>
              <c:dLblPos val="ctr"/>
              <c:showLegendKey val="0"/>
              <c:showVal val="1"/>
              <c:showCatName val="0"/>
              <c:showSerName val="0"/>
              <c:showPercent val="0"/>
              <c:showBubbleSize val="0"/>
            </c:dLbl>
            <c:dLbl>
              <c:idx val="16"/>
              <c:tx>
                <c:rich>
                  <a:bodyPr/>
                  <a:lstStyle/>
                  <a:p>
                    <a:r>
                      <a:rPr lang="en-US"/>
                      <a:t>19</a:t>
                    </a:r>
                  </a:p>
                </c:rich>
              </c:tx>
              <c:dLblPos val="ctr"/>
              <c:showLegendKey val="0"/>
              <c:showVal val="1"/>
              <c:showCatName val="0"/>
              <c:showSerName val="0"/>
              <c:showPercent val="0"/>
              <c:showBubbleSize val="0"/>
            </c:dLbl>
            <c:dLbl>
              <c:idx val="17"/>
              <c:tx>
                <c:rich>
                  <a:bodyPr/>
                  <a:lstStyle/>
                  <a:p>
                    <a:r>
                      <a:rPr lang="en-US"/>
                      <a:t>20</a:t>
                    </a:r>
                  </a:p>
                </c:rich>
              </c:tx>
              <c:dLblPos val="ctr"/>
              <c:showLegendKey val="0"/>
              <c:showVal val="1"/>
              <c:showCatName val="0"/>
              <c:showSerName val="0"/>
              <c:showPercent val="0"/>
              <c:showBubbleSize val="0"/>
            </c:dLbl>
            <c:dLbl>
              <c:idx val="18"/>
              <c:tx>
                <c:rich>
                  <a:bodyPr/>
                  <a:lstStyle/>
                  <a:p>
                    <a:r>
                      <a:rPr lang="en-US"/>
                      <a:t>21</a:t>
                    </a:r>
                  </a:p>
                </c:rich>
              </c:tx>
              <c:dLblPos val="ctr"/>
              <c:showLegendKey val="0"/>
              <c:showVal val="1"/>
              <c:showCatName val="0"/>
              <c:showSerName val="0"/>
              <c:showPercent val="0"/>
              <c:showBubbleSize val="0"/>
            </c:dLbl>
            <c:dLbl>
              <c:idx val="19"/>
              <c:tx>
                <c:rich>
                  <a:bodyPr/>
                  <a:lstStyle/>
                  <a:p>
                    <a:r>
                      <a:rPr lang="en-US"/>
                      <a:t>23</a:t>
                    </a:r>
                  </a:p>
                </c:rich>
              </c:tx>
              <c:dLblPos val="ctr"/>
              <c:showLegendKey val="0"/>
              <c:showVal val="1"/>
              <c:showCatName val="0"/>
              <c:showSerName val="0"/>
              <c:showPercent val="0"/>
              <c:showBubbleSize val="0"/>
            </c:dLbl>
            <c:dLbl>
              <c:idx val="20"/>
              <c:tx>
                <c:rich>
                  <a:bodyPr/>
                  <a:lstStyle/>
                  <a:p>
                    <a:r>
                      <a:rPr lang="en-US"/>
                      <a:t>24</a:t>
                    </a:r>
                  </a:p>
                </c:rich>
              </c:tx>
              <c:dLblPos val="ctr"/>
              <c:showLegendKey val="0"/>
              <c:showVal val="1"/>
              <c:showCatName val="0"/>
              <c:showSerName val="0"/>
              <c:showPercent val="0"/>
              <c:showBubbleSize val="0"/>
            </c:dLbl>
            <c:dLbl>
              <c:idx val="21"/>
              <c:tx>
                <c:rich>
                  <a:bodyPr/>
                  <a:lstStyle/>
                  <a:p>
                    <a:r>
                      <a:rPr lang="en-US"/>
                      <a:t>25</a:t>
                    </a:r>
                  </a:p>
                </c:rich>
              </c:tx>
              <c:dLblPos val="ctr"/>
              <c:showLegendKey val="0"/>
              <c:showVal val="1"/>
              <c:showCatName val="0"/>
              <c:showSerName val="0"/>
              <c:showPercent val="0"/>
              <c:showBubbleSize val="0"/>
            </c:dLbl>
            <c:dLbl>
              <c:idx val="22"/>
              <c:tx>
                <c:rich>
                  <a:bodyPr/>
                  <a:lstStyle/>
                  <a:p>
                    <a:r>
                      <a:rPr lang="en-US"/>
                      <a:t>26</a:t>
                    </a:r>
                  </a:p>
                </c:rich>
              </c:tx>
              <c:dLblPos val="ctr"/>
              <c:showLegendKey val="0"/>
              <c:showVal val="1"/>
              <c:showCatName val="0"/>
              <c:showSerName val="0"/>
              <c:showPercent val="0"/>
              <c:showBubbleSize val="0"/>
            </c:dLbl>
            <c:dLbl>
              <c:idx val="23"/>
              <c:tx>
                <c:rich>
                  <a:bodyPr/>
                  <a:lstStyle/>
                  <a:p>
                    <a:r>
                      <a:rPr lang="en-US"/>
                      <a:t>27</a:t>
                    </a:r>
                  </a:p>
                </c:rich>
              </c:tx>
              <c:dLblPos val="ctr"/>
              <c:showLegendKey val="0"/>
              <c:showVal val="1"/>
              <c:showCatName val="0"/>
              <c:showSerName val="0"/>
              <c:showPercent val="0"/>
              <c:showBubbleSize val="0"/>
            </c:dLbl>
            <c:dLbl>
              <c:idx val="24"/>
              <c:tx>
                <c:rich>
                  <a:bodyPr/>
                  <a:lstStyle/>
                  <a:p>
                    <a:r>
                      <a:rPr lang="en-US"/>
                      <a:t>28</a:t>
                    </a:r>
                  </a:p>
                </c:rich>
              </c:tx>
              <c:dLblPos val="ctr"/>
              <c:showLegendKey val="0"/>
              <c:showVal val="1"/>
              <c:showCatName val="0"/>
              <c:showSerName val="0"/>
              <c:showPercent val="0"/>
              <c:showBubbleSize val="0"/>
            </c:dLbl>
            <c:spPr>
              <a:effectLst/>
            </c:spPr>
            <c:txPr>
              <a:bodyPr rot="-1800000" vert="horz"/>
              <a:lstStyle/>
              <a:p>
                <a:pPr algn="ctr">
                  <a:defRPr sz="800" b="1" i="0" u="none" strike="noStrike" baseline="0">
                    <a:latin typeface="Arial"/>
                    <a:ea typeface="Arial"/>
                    <a:cs typeface="Arial"/>
                  </a:defRPr>
                </a:pPr>
                <a:endParaRPr lang="en-US"/>
              </a:p>
            </c:txPr>
            <c:dLblPos val="ctr"/>
            <c:showLegendKey val="0"/>
            <c:showVal val="0"/>
            <c:showCatName val="0"/>
            <c:showSerName val="0"/>
            <c:showPercent val="0"/>
            <c:showBubbleSize val="0"/>
          </c:dLbls>
          <c:xVal>
            <c:numRef>
              <c:f>Worksheet!$C$3:$C$27</c:f>
              <c:numCache>
                <c:formatCode>General</c:formatCode>
                <c:ptCount val="25"/>
                <c:pt idx="0">
                  <c:v>1.25</c:v>
                </c:pt>
                <c:pt idx="1">
                  <c:v>0.92</c:v>
                </c:pt>
                <c:pt idx="2">
                  <c:v>1.22</c:v>
                </c:pt>
                <c:pt idx="3">
                  <c:v>0.7600000000000009</c:v>
                </c:pt>
                <c:pt idx="4">
                  <c:v>0.70000000000000062</c:v>
                </c:pt>
                <c:pt idx="5">
                  <c:v>0.87000000000000077</c:v>
                </c:pt>
                <c:pt idx="6">
                  <c:v>0.9</c:v>
                </c:pt>
                <c:pt idx="7">
                  <c:v>0.87000000000000077</c:v>
                </c:pt>
                <c:pt idx="8">
                  <c:v>0.95000000000000062</c:v>
                </c:pt>
                <c:pt idx="9">
                  <c:v>0.75000000000000089</c:v>
                </c:pt>
                <c:pt idx="10">
                  <c:v>1.48</c:v>
                </c:pt>
                <c:pt idx="11">
                  <c:v>1.37</c:v>
                </c:pt>
                <c:pt idx="12">
                  <c:v>1.6800000000000015</c:v>
                </c:pt>
                <c:pt idx="13">
                  <c:v>1.3800000000000001</c:v>
                </c:pt>
                <c:pt idx="14">
                  <c:v>0.93</c:v>
                </c:pt>
                <c:pt idx="15">
                  <c:v>1.42</c:v>
                </c:pt>
                <c:pt idx="16">
                  <c:v>1.36</c:v>
                </c:pt>
                <c:pt idx="17">
                  <c:v>1.28</c:v>
                </c:pt>
                <c:pt idx="18">
                  <c:v>0.82000000000000062</c:v>
                </c:pt>
                <c:pt idx="19">
                  <c:v>0.97000000000000064</c:v>
                </c:pt>
                <c:pt idx="20">
                  <c:v>1.05</c:v>
                </c:pt>
                <c:pt idx="21">
                  <c:v>0.81</c:v>
                </c:pt>
                <c:pt idx="22">
                  <c:v>1</c:v>
                </c:pt>
                <c:pt idx="23">
                  <c:v>0.71000000000000063</c:v>
                </c:pt>
                <c:pt idx="24">
                  <c:v>1.03</c:v>
                </c:pt>
              </c:numCache>
            </c:numRef>
          </c:xVal>
          <c:yVal>
            <c:numRef>
              <c:f>Worksheet!$B$3:$B$27</c:f>
              <c:numCache>
                <c:formatCode>General</c:formatCode>
                <c:ptCount val="25"/>
                <c:pt idx="0">
                  <c:v>-1.81</c:v>
                </c:pt>
                <c:pt idx="1">
                  <c:v>-0.58000000000000007</c:v>
                </c:pt>
                <c:pt idx="2">
                  <c:v>0.73000000000000065</c:v>
                </c:pt>
                <c:pt idx="3">
                  <c:v>0.29000000000000031</c:v>
                </c:pt>
                <c:pt idx="4">
                  <c:v>0.63000000000000089</c:v>
                </c:pt>
                <c:pt idx="5">
                  <c:v>0.54</c:v>
                </c:pt>
                <c:pt idx="6">
                  <c:v>-0.39000000000000046</c:v>
                </c:pt>
                <c:pt idx="7">
                  <c:v>-0.23</c:v>
                </c:pt>
                <c:pt idx="8">
                  <c:v>0.61000000000000065</c:v>
                </c:pt>
                <c:pt idx="9">
                  <c:v>0.54</c:v>
                </c:pt>
                <c:pt idx="10">
                  <c:v>-0.54</c:v>
                </c:pt>
                <c:pt idx="11">
                  <c:v>-0.61000000000000065</c:v>
                </c:pt>
                <c:pt idx="12">
                  <c:v>-0.97000000000000064</c:v>
                </c:pt>
                <c:pt idx="13">
                  <c:v>-0.49000000000000032</c:v>
                </c:pt>
                <c:pt idx="14">
                  <c:v>0.15000000000000019</c:v>
                </c:pt>
                <c:pt idx="15">
                  <c:v>-0.51</c:v>
                </c:pt>
                <c:pt idx="16">
                  <c:v>-0.65000000000000102</c:v>
                </c:pt>
                <c:pt idx="17">
                  <c:v>-0.70000000000000062</c:v>
                </c:pt>
                <c:pt idx="18">
                  <c:v>0.53</c:v>
                </c:pt>
                <c:pt idx="19">
                  <c:v>0.82000000000000062</c:v>
                </c:pt>
                <c:pt idx="20">
                  <c:v>1.49</c:v>
                </c:pt>
                <c:pt idx="21">
                  <c:v>0.91</c:v>
                </c:pt>
                <c:pt idx="22">
                  <c:v>0.32000000000000045</c:v>
                </c:pt>
                <c:pt idx="23">
                  <c:v>0.17</c:v>
                </c:pt>
                <c:pt idx="24">
                  <c:v>-0.23</c:v>
                </c:pt>
              </c:numCache>
            </c:numRef>
          </c:yVal>
          <c:bubbleSize>
            <c:numRef>
              <c:f>Worksheet!$D$3:$D$27</c:f>
              <c:numCache>
                <c:formatCode>General</c:formatCode>
                <c:ptCount val="25"/>
                <c:pt idx="0">
                  <c:v>0.05</c:v>
                </c:pt>
                <c:pt idx="1">
                  <c:v>4.0000000000000022E-2</c:v>
                </c:pt>
                <c:pt idx="2">
                  <c:v>3.0000000000000002E-2</c:v>
                </c:pt>
                <c:pt idx="3">
                  <c:v>3.0000000000000002E-2</c:v>
                </c:pt>
                <c:pt idx="4">
                  <c:v>3.0000000000000002E-2</c:v>
                </c:pt>
                <c:pt idx="5">
                  <c:v>3.0000000000000002E-2</c:v>
                </c:pt>
                <c:pt idx="6">
                  <c:v>4.0000000000000022E-2</c:v>
                </c:pt>
                <c:pt idx="7">
                  <c:v>3.0000000000000002E-2</c:v>
                </c:pt>
                <c:pt idx="8">
                  <c:v>3.0000000000000002E-2</c:v>
                </c:pt>
                <c:pt idx="9">
                  <c:v>3.0000000000000002E-2</c:v>
                </c:pt>
                <c:pt idx="10">
                  <c:v>4.0000000000000022E-2</c:v>
                </c:pt>
                <c:pt idx="11">
                  <c:v>4.0000000000000022E-2</c:v>
                </c:pt>
                <c:pt idx="12">
                  <c:v>4.0000000000000022E-2</c:v>
                </c:pt>
                <c:pt idx="13">
                  <c:v>4.0000000000000022E-2</c:v>
                </c:pt>
                <c:pt idx="14">
                  <c:v>3.0000000000000002E-2</c:v>
                </c:pt>
                <c:pt idx="15">
                  <c:v>4.0000000000000022E-2</c:v>
                </c:pt>
                <c:pt idx="16">
                  <c:v>4.0000000000000022E-2</c:v>
                </c:pt>
                <c:pt idx="17">
                  <c:v>4.0000000000000022E-2</c:v>
                </c:pt>
                <c:pt idx="18">
                  <c:v>3.0000000000000002E-2</c:v>
                </c:pt>
                <c:pt idx="19">
                  <c:v>3.0000000000000002E-2</c:v>
                </c:pt>
                <c:pt idx="20">
                  <c:v>3.0000000000000002E-2</c:v>
                </c:pt>
                <c:pt idx="21">
                  <c:v>3.0000000000000002E-2</c:v>
                </c:pt>
                <c:pt idx="22">
                  <c:v>3.0000000000000002E-2</c:v>
                </c:pt>
                <c:pt idx="23">
                  <c:v>3.0000000000000002E-2</c:v>
                </c:pt>
                <c:pt idx="24">
                  <c:v>3.0000000000000002E-2</c:v>
                </c:pt>
              </c:numCache>
            </c:numRef>
          </c:bubbleSize>
          <c:bubble3D val="0"/>
          <c:extLst>
            <c:ext xmlns:c14="http://schemas.microsoft.com/office/drawing/2007/8/2/chart" uri="{6F2FDCE9-48DA-4B69-8628-5D25D57E5C99}">
              <c14:invertSolidFillFmt>
                <c14:spPr xmlns:c14="http://schemas.microsoft.com/office/drawing/2007/8/2/chart">
                  <a:solidFill>
                    <a:srgbClr val="FFFFFF"/>
                  </a:solidFill>
                  <a:effectLst/>
                </c14:spPr>
              </c14:invertSolidFillFmt>
            </c:ext>
          </c:extLst>
        </c:ser>
        <c:dLbls>
          <c:showLegendKey val="0"/>
          <c:showVal val="0"/>
          <c:showCatName val="0"/>
          <c:showSerName val="0"/>
          <c:showPercent val="0"/>
          <c:showBubbleSize val="0"/>
        </c:dLbls>
        <c:bubbleScale val="20"/>
        <c:showNegBubbles val="1"/>
        <c:sizeRepresents val="w"/>
        <c:axId val="109841024"/>
        <c:axId val="109871872"/>
      </c:bubbleChart>
      <c:valAx>
        <c:axId val="109841024"/>
        <c:scaling>
          <c:orientation val="minMax"/>
        </c:scaling>
        <c:delete val="0"/>
        <c:axPos val="b"/>
        <c:majorGridlines/>
        <c:title>
          <c:tx>
            <c:rich>
              <a:bodyPr/>
              <a:lstStyle/>
              <a:p>
                <a:pPr>
                  <a:defRPr sz="1400" b="1" i="0" u="none" strike="noStrike" baseline="0">
                    <a:latin typeface="Arial"/>
                    <a:ea typeface="Arial"/>
                    <a:cs typeface="Arial"/>
                  </a:defRPr>
                </a:pPr>
                <a:r>
                  <a:rPr lang="en-GB"/>
                  <a:t>Infit Mean-square</a:t>
                </a:r>
              </a:p>
            </c:rich>
          </c:tx>
          <c:overlay val="0"/>
          <c:spPr>
            <a:effectLst/>
          </c:spPr>
        </c:title>
        <c:numFmt formatCode="General" sourceLinked="1"/>
        <c:majorTickMark val="cross"/>
        <c:minorTickMark val="none"/>
        <c:tickLblPos val="nextTo"/>
        <c:spPr>
          <a:ln w="3175">
            <a:solidFill>
              <a:srgbClr val="000000"/>
            </a:solidFill>
            <a:prstDash val="sysDash"/>
          </a:ln>
        </c:spPr>
        <c:crossAx val="109871872"/>
        <c:crosses val="min"/>
        <c:crossBetween val="midCat"/>
        <c:majorUnit val="1"/>
        <c:minorUnit val="1"/>
      </c:valAx>
      <c:valAx>
        <c:axId val="109871872"/>
        <c:scaling>
          <c:orientation val="minMax"/>
        </c:scaling>
        <c:delete val="0"/>
        <c:axPos val="l"/>
        <c:title>
          <c:tx>
            <c:rich>
              <a:bodyPr rot="5400000" vert="horz"/>
              <a:lstStyle/>
              <a:p>
                <a:pPr algn="ctr">
                  <a:defRPr sz="1600" b="1" i="0" u="none" strike="noStrike" baseline="0">
                    <a:latin typeface="Arial"/>
                    <a:ea typeface="Arial"/>
                    <a:cs typeface="Arial"/>
                  </a:defRPr>
                </a:pPr>
                <a:r>
                  <a:rPr lang="en-GB"/>
                  <a:t>Measures</a:t>
                </a:r>
              </a:p>
            </c:rich>
          </c:tx>
          <c:overlay val="0"/>
          <c:spPr>
            <a:effectLst/>
          </c:spPr>
        </c:title>
        <c:numFmt formatCode="General" sourceLinked="1"/>
        <c:majorTickMark val="out"/>
        <c:minorTickMark val="none"/>
        <c:tickLblPos val="nextTo"/>
        <c:crossAx val="109841024"/>
        <c:crosses val="min"/>
        <c:crossBetween val="midCat"/>
        <c:majorUnit val="1"/>
        <c:minorUnit val="1"/>
      </c:valAx>
      <c:spPr>
        <a:solidFill>
          <a:srgbClr val="FFFF00"/>
        </a:solidFill>
        <a:ln w="12700">
          <a:solidFill>
            <a:srgbClr val="808080"/>
          </a:solidFill>
          <a:prstDash val="solid"/>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t>Overall, working in my organisation is (0=very poor... 10=very good)</a:t>
            </a:r>
          </a:p>
        </c:rich>
      </c:tx>
      <c:overlay val="0"/>
    </c:title>
    <c:autoTitleDeleted val="0"/>
    <c:plotArea>
      <c:layout/>
      <c:barChart>
        <c:barDir val="col"/>
        <c:grouping val="clustered"/>
        <c:varyColors val="0"/>
        <c:ser>
          <c:idx val="0"/>
          <c:order val="0"/>
          <c:tx>
            <c:strRef>
              <c:f>'q29 by prof'!$B$1</c:f>
              <c:strCache>
                <c:ptCount val="1"/>
                <c:pt idx="0">
                  <c:v>Overall, working in my organisation is</c:v>
                </c:pt>
              </c:strCache>
            </c:strRef>
          </c:tx>
          <c:invertIfNegative val="0"/>
          <c:cat>
            <c:strRef>
              <c:f>'q29 by prof'!$A$2:$A$10</c:f>
              <c:strCache>
                <c:ptCount val="9"/>
                <c:pt idx="0">
                  <c:v>Managerial</c:v>
                </c:pt>
                <c:pt idx="1">
                  <c:v>Admin/clerical</c:v>
                </c:pt>
                <c:pt idx="2">
                  <c:v>Medical</c:v>
                </c:pt>
                <c:pt idx="3">
                  <c:v>Total</c:v>
                </c:pt>
                <c:pt idx="4">
                  <c:v>Nursing</c:v>
                </c:pt>
                <c:pt idx="5">
                  <c:v>Corporate</c:v>
                </c:pt>
                <c:pt idx="6">
                  <c:v>AHP</c:v>
                </c:pt>
                <c:pt idx="7">
                  <c:v>Other</c:v>
                </c:pt>
                <c:pt idx="8">
                  <c:v>Support Services</c:v>
                </c:pt>
              </c:strCache>
            </c:strRef>
          </c:cat>
          <c:val>
            <c:numRef>
              <c:f>'q29 by prof'!$B$2:$B$10</c:f>
              <c:numCache>
                <c:formatCode>###0.00</c:formatCode>
                <c:ptCount val="9"/>
                <c:pt idx="0">
                  <c:v>7.3499999999999988</c:v>
                </c:pt>
                <c:pt idx="1">
                  <c:v>7.1813186813186825</c:v>
                </c:pt>
                <c:pt idx="2">
                  <c:v>6.4921874999999956</c:v>
                </c:pt>
                <c:pt idx="3">
                  <c:v>6.3740392826643903</c:v>
                </c:pt>
                <c:pt idx="4">
                  <c:v>6.3233743409490355</c:v>
                </c:pt>
                <c:pt idx="5">
                  <c:v>6.0833333333333401</c:v>
                </c:pt>
                <c:pt idx="6">
                  <c:v>5.9759999999999991</c:v>
                </c:pt>
                <c:pt idx="7">
                  <c:v>5.8441558441558321</c:v>
                </c:pt>
                <c:pt idx="8">
                  <c:v>5.3620689655172376</c:v>
                </c:pt>
              </c:numCache>
            </c:numRef>
          </c:val>
        </c:ser>
        <c:dLbls>
          <c:showLegendKey val="0"/>
          <c:showVal val="0"/>
          <c:showCatName val="0"/>
          <c:showSerName val="0"/>
          <c:showPercent val="0"/>
          <c:showBubbleSize val="0"/>
        </c:dLbls>
        <c:gapWidth val="75"/>
        <c:overlap val="-25"/>
        <c:axId val="109900544"/>
        <c:axId val="109902080"/>
      </c:barChart>
      <c:catAx>
        <c:axId val="109900544"/>
        <c:scaling>
          <c:orientation val="minMax"/>
        </c:scaling>
        <c:delete val="0"/>
        <c:axPos val="b"/>
        <c:majorTickMark val="none"/>
        <c:minorTickMark val="none"/>
        <c:tickLblPos val="nextTo"/>
        <c:txPr>
          <a:bodyPr/>
          <a:lstStyle/>
          <a:p>
            <a:pPr>
              <a:defRPr sz="600"/>
            </a:pPr>
            <a:endParaRPr lang="en-US"/>
          </a:p>
        </c:txPr>
        <c:crossAx val="109902080"/>
        <c:crosses val="autoZero"/>
        <c:auto val="1"/>
        <c:lblAlgn val="ctr"/>
        <c:lblOffset val="100"/>
        <c:noMultiLvlLbl val="0"/>
      </c:catAx>
      <c:valAx>
        <c:axId val="109902080"/>
        <c:scaling>
          <c:orientation val="minMax"/>
        </c:scaling>
        <c:delete val="0"/>
        <c:axPos val="l"/>
        <c:majorGridlines/>
        <c:numFmt formatCode="###0.00" sourceLinked="1"/>
        <c:majorTickMark val="none"/>
        <c:minorTickMark val="none"/>
        <c:tickLblPos val="nextTo"/>
        <c:spPr>
          <a:ln w="9525">
            <a:noFill/>
          </a:ln>
        </c:spPr>
        <c:crossAx val="109900544"/>
        <c:crosses val="autoZero"/>
        <c:crossBetween val="between"/>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821271B2E944D390C6FFF13DABC805"/>
        <w:category>
          <w:name w:val="General"/>
          <w:gallery w:val="placeholder"/>
        </w:category>
        <w:types>
          <w:type w:val="bbPlcHdr"/>
        </w:types>
        <w:behaviors>
          <w:behavior w:val="content"/>
        </w:behaviors>
        <w:guid w:val="{F16FF82F-E037-41F8-8CE1-DF30CE1011D1}"/>
      </w:docPartPr>
      <w:docPartBody>
        <w:p w:rsidR="009B025A" w:rsidRDefault="009B025A" w:rsidP="009B025A">
          <w:pPr>
            <w:pStyle w:val="5C821271B2E944D390C6FFF13DABC805"/>
          </w:pPr>
          <w:r>
            <w:rPr>
              <w:rFonts w:asciiTheme="majorHAnsi" w:eastAsiaTheme="majorEastAsia" w:hAnsiTheme="majorHAnsi" w:cstheme="majorBidi"/>
              <w:caps/>
            </w:rPr>
            <w:t>[Type the company name]</w:t>
          </w:r>
        </w:p>
      </w:docPartBody>
    </w:docPart>
    <w:docPart>
      <w:docPartPr>
        <w:name w:val="750B4311170C4CF2B88B887539892FEF"/>
        <w:category>
          <w:name w:val="General"/>
          <w:gallery w:val="placeholder"/>
        </w:category>
        <w:types>
          <w:type w:val="bbPlcHdr"/>
        </w:types>
        <w:behaviors>
          <w:behavior w:val="content"/>
        </w:behaviors>
        <w:guid w:val="{5F099E0D-2234-429E-9428-F730DE857B77}"/>
      </w:docPartPr>
      <w:docPartBody>
        <w:p w:rsidR="009B025A" w:rsidRDefault="009B025A" w:rsidP="009B025A">
          <w:pPr>
            <w:pStyle w:val="750B4311170C4CF2B88B887539892FEF"/>
          </w:pPr>
          <w:r>
            <w:rPr>
              <w:rFonts w:asciiTheme="majorHAnsi" w:eastAsiaTheme="majorEastAsia" w:hAnsiTheme="majorHAnsi" w:cstheme="majorBidi"/>
              <w:sz w:val="80"/>
              <w:szCs w:val="80"/>
            </w:rPr>
            <w:t>[Type the document title]</w:t>
          </w:r>
        </w:p>
      </w:docPartBody>
    </w:docPart>
    <w:docPart>
      <w:docPartPr>
        <w:name w:val="FEF2D3F8D9E34856A2218D27B5319A5B"/>
        <w:category>
          <w:name w:val="General"/>
          <w:gallery w:val="placeholder"/>
        </w:category>
        <w:types>
          <w:type w:val="bbPlcHdr"/>
        </w:types>
        <w:behaviors>
          <w:behavior w:val="content"/>
        </w:behaviors>
        <w:guid w:val="{5A6A8C15-EB1E-4D12-9C2C-85719E93F56E}"/>
      </w:docPartPr>
      <w:docPartBody>
        <w:p w:rsidR="009B025A" w:rsidRDefault="009B025A" w:rsidP="009B025A">
          <w:pPr>
            <w:pStyle w:val="FEF2D3F8D9E34856A2218D27B5319A5B"/>
          </w:pPr>
          <w:r>
            <w:rPr>
              <w:rFonts w:asciiTheme="majorHAnsi" w:eastAsiaTheme="majorEastAsia" w:hAnsiTheme="majorHAnsi" w:cstheme="majorBidi"/>
              <w:sz w:val="44"/>
              <w:szCs w:val="44"/>
            </w:rPr>
            <w:t>[Type the document subtitle]</w:t>
          </w:r>
        </w:p>
      </w:docPartBody>
    </w:docPart>
    <w:docPart>
      <w:docPartPr>
        <w:name w:val="43B4ECF3B6DC477A99672A6AE4C9657A"/>
        <w:category>
          <w:name w:val="General"/>
          <w:gallery w:val="placeholder"/>
        </w:category>
        <w:types>
          <w:type w:val="bbPlcHdr"/>
        </w:types>
        <w:behaviors>
          <w:behavior w:val="content"/>
        </w:behaviors>
        <w:guid w:val="{B492768F-6433-4BE2-8CC6-F0E7499E7A02}"/>
      </w:docPartPr>
      <w:docPartBody>
        <w:p w:rsidR="009B025A" w:rsidRDefault="009B025A" w:rsidP="009B025A">
          <w:pPr>
            <w:pStyle w:val="43B4ECF3B6DC477A99672A6AE4C9657A"/>
          </w:pPr>
          <w:r>
            <w:rPr>
              <w:b/>
              <w:bCs/>
            </w:rPr>
            <w:t>[Type the author name]</w:t>
          </w:r>
        </w:p>
      </w:docPartBody>
    </w:docPart>
    <w:docPart>
      <w:docPartPr>
        <w:name w:val="8F41299244A74420ABCA7C0EFA40BE7B"/>
        <w:category>
          <w:name w:val="General"/>
          <w:gallery w:val="placeholder"/>
        </w:category>
        <w:types>
          <w:type w:val="bbPlcHdr"/>
        </w:types>
        <w:behaviors>
          <w:behavior w:val="content"/>
        </w:behaviors>
        <w:guid w:val="{0D72D00C-2BBE-46A3-82A5-64958A99DA08}"/>
      </w:docPartPr>
      <w:docPartBody>
        <w:p w:rsidR="009B025A" w:rsidRDefault="009B025A" w:rsidP="009B025A">
          <w:pPr>
            <w:pStyle w:val="8F41299244A74420ABCA7C0EFA40BE7B"/>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B025A"/>
    <w:rsid w:val="000817B3"/>
    <w:rsid w:val="00120501"/>
    <w:rsid w:val="001818D5"/>
    <w:rsid w:val="00186765"/>
    <w:rsid w:val="001E4B04"/>
    <w:rsid w:val="00284C8F"/>
    <w:rsid w:val="002D0CE9"/>
    <w:rsid w:val="002E74F0"/>
    <w:rsid w:val="00317F36"/>
    <w:rsid w:val="00323C63"/>
    <w:rsid w:val="00337464"/>
    <w:rsid w:val="003C333A"/>
    <w:rsid w:val="003E204B"/>
    <w:rsid w:val="00421B24"/>
    <w:rsid w:val="004571B1"/>
    <w:rsid w:val="00461F32"/>
    <w:rsid w:val="004C0B7B"/>
    <w:rsid w:val="004D2B0B"/>
    <w:rsid w:val="0051393D"/>
    <w:rsid w:val="005340CB"/>
    <w:rsid w:val="005D2650"/>
    <w:rsid w:val="00602D2A"/>
    <w:rsid w:val="0063604E"/>
    <w:rsid w:val="00743FDE"/>
    <w:rsid w:val="007563A3"/>
    <w:rsid w:val="00766164"/>
    <w:rsid w:val="007719B2"/>
    <w:rsid w:val="00800408"/>
    <w:rsid w:val="00803981"/>
    <w:rsid w:val="00807A41"/>
    <w:rsid w:val="008619DE"/>
    <w:rsid w:val="00890202"/>
    <w:rsid w:val="008C6E92"/>
    <w:rsid w:val="008E6AE9"/>
    <w:rsid w:val="009B025A"/>
    <w:rsid w:val="009E455A"/>
    <w:rsid w:val="00A201C4"/>
    <w:rsid w:val="00A4029F"/>
    <w:rsid w:val="00A47440"/>
    <w:rsid w:val="00AD16D4"/>
    <w:rsid w:val="00B34737"/>
    <w:rsid w:val="00BB19CD"/>
    <w:rsid w:val="00BB7480"/>
    <w:rsid w:val="00BD2DA2"/>
    <w:rsid w:val="00BF4303"/>
    <w:rsid w:val="00C226E3"/>
    <w:rsid w:val="00D02FCF"/>
    <w:rsid w:val="00D14616"/>
    <w:rsid w:val="00D21825"/>
    <w:rsid w:val="00D27080"/>
    <w:rsid w:val="00D928A8"/>
    <w:rsid w:val="00DB34C5"/>
    <w:rsid w:val="00E52656"/>
    <w:rsid w:val="00EA4886"/>
    <w:rsid w:val="00FC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821271B2E944D390C6FFF13DABC805">
    <w:name w:val="5C821271B2E944D390C6FFF13DABC805"/>
    <w:rsid w:val="009B025A"/>
  </w:style>
  <w:style w:type="paragraph" w:customStyle="1" w:styleId="750B4311170C4CF2B88B887539892FEF">
    <w:name w:val="750B4311170C4CF2B88B887539892FEF"/>
    <w:rsid w:val="009B025A"/>
  </w:style>
  <w:style w:type="paragraph" w:customStyle="1" w:styleId="FEF2D3F8D9E34856A2218D27B5319A5B">
    <w:name w:val="FEF2D3F8D9E34856A2218D27B5319A5B"/>
    <w:rsid w:val="009B025A"/>
  </w:style>
  <w:style w:type="paragraph" w:customStyle="1" w:styleId="43B4ECF3B6DC477A99672A6AE4C9657A">
    <w:name w:val="43B4ECF3B6DC477A99672A6AE4C9657A"/>
    <w:rsid w:val="009B025A"/>
  </w:style>
  <w:style w:type="paragraph" w:customStyle="1" w:styleId="1956B589B958451E9AE22206733F8D6B">
    <w:name w:val="1956B589B958451E9AE22206733F8D6B"/>
    <w:rsid w:val="009B025A"/>
  </w:style>
  <w:style w:type="paragraph" w:customStyle="1" w:styleId="8F41299244A74420ABCA7C0EFA40BE7B">
    <w:name w:val="8F41299244A74420ABCA7C0EFA40BE7B"/>
    <w:rsid w:val="009B025A"/>
  </w:style>
  <w:style w:type="paragraph" w:customStyle="1" w:styleId="540D49972C62496688EE2C032441CC53">
    <w:name w:val="540D49972C62496688EE2C032441CC53"/>
    <w:rsid w:val="005D2650"/>
  </w:style>
  <w:style w:type="paragraph" w:customStyle="1" w:styleId="42720983E9B24627B12A26E27A288C07">
    <w:name w:val="42720983E9B24627B12A26E27A288C07"/>
    <w:rsid w:val="005D2650"/>
  </w:style>
  <w:style w:type="paragraph" w:customStyle="1" w:styleId="5539BD58C3134F54A23FBCE6644F447D">
    <w:name w:val="5539BD58C3134F54A23FBCE6644F447D"/>
    <w:rsid w:val="00D270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is the final report for the external validation of NHS Scotland Employment Engagement Index (NHSEEI). It entails in depth analysis of 1193 responses to the questionnaire. It describes a four-factor structure to the questionnaire and details the item fit. It analyses the response pattern of a typical NHS Scotland staff member and concludes that this questionnaire provides an excellent metric within which to measure improvement in staff engagement. Recommendations are detailed within the body of the report.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BE6C32-B875-41CA-825D-D21909479696}">
  <ds:schemaRefs>
    <ds:schemaRef ds:uri="http://schemas.openxmlformats.org/officeDocument/2006/bibliography"/>
  </ds:schemaRefs>
</ds:datastoreItem>
</file>

<file path=customXml/itemProps3.xml><?xml version="1.0" encoding="utf-8"?>
<ds:datastoreItem xmlns:ds="http://schemas.openxmlformats.org/officeDocument/2006/customXml" ds:itemID="{BD70D350-A828-4A58-AAEB-FB434A1A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14919</Words>
  <Characters>85043</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Validation of the NHS Scotland Employee Engagement Index</vt:lpstr>
    </vt:vector>
  </TitlesOfParts>
  <Company>University of the West of Scotland</Company>
  <LinksUpToDate>false</LinksUpToDate>
  <CharactersWithSpaces>99763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of the NHS Scotland Employee Engagement Index</dc:title>
  <dc:subject>Final Report</dc:subject>
  <dc:creator>Dr Austyn Snowden &amp; Dr Ewan MacArthur</dc:creator>
  <cp:lastModifiedBy>u418827</cp:lastModifiedBy>
  <cp:revision>2</cp:revision>
  <cp:lastPrinted>2013-02-25T10:54:00Z</cp:lastPrinted>
  <dcterms:created xsi:type="dcterms:W3CDTF">2015-02-10T10:14:00Z</dcterms:created>
  <dcterms:modified xsi:type="dcterms:W3CDTF">2015-02-10T10:14:00Z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austyn.snowden@uws.ac.uk@www.mendeley.com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(Author-Date format)</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http://www.zotero.org/styles/mhra</vt:lpwstr>
  </property>
  <property fmtid="{D5CDD505-2E9C-101B-9397-08002B2CF9AE}" pid="10" name="Mendeley Recent Style Name 2_1">
    <vt:lpwstr>Modern Humanities Research Association (Note with Bibliography)</vt:lpwstr>
  </property>
  <property fmtid="{D5CDD505-2E9C-101B-9397-08002B2CF9AE}" pid="11" name="Mendeley Recent Style Id 3_1">
    <vt:lpwstr>http://www.zotero.org/styles/mla</vt:lpwstr>
  </property>
  <property fmtid="{D5CDD505-2E9C-101B-9397-08002B2CF9AE}" pid="12" name="Mendeley Recent Style Name 3_1">
    <vt:lpwstr>Modern Language Association</vt:lpwstr>
  </property>
  <property fmtid="{D5CDD505-2E9C-101B-9397-08002B2CF9AE}" pid="13" name="Mendeley Recent Style Id 4_1">
    <vt:lpwstr>http://www.zotero.org/styles/ama</vt:lpwstr>
  </property>
  <property fmtid="{D5CDD505-2E9C-101B-9397-08002B2CF9AE}" pid="14" name="Mendeley Recent Style Name 4_1">
    <vt:lpwstr>American Medical Association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http://www.zotero.org/styles/nature</vt:lpwstr>
  </property>
  <property fmtid="{D5CDD505-2E9C-101B-9397-08002B2CF9AE}" pid="24" name="Mendeley Recent Style Name 9_1">
    <vt:lpwstr>Nature Journal</vt:lpwstr>
  </property>
</Properties>
</file>